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sz w:val="52"/>
          <w:szCs w:val="52"/>
        </w:rPr>
        <w:t xml:space="preserve">MANUAL DE TRANSICIÓN</w:t>
      </w:r>
    </w:p>
    <w:p>
      <w:pPr>
        <w:spacing w:before="300"/>
      </w:pPr>
    </w:p>
    <w:p>
      <w:pPr>
        <w:jc w:val="center"/>
      </w:pPr>
      <w:r>
        <w:rPr>
          <w:rFonts w:ascii="Georgia" w:cs="Georgia" w:eastAsia="Georgia" w:hAnsi="Georgia"/>
          <w:i/>
          <w:iCs/>
          <w:color w:val="555555"/>
          <w:sz w:val="36"/>
          <w:szCs w:val="36"/>
        </w:rPr>
        <w:t xml:space="preserve">De aquí a allá</w:t>
      </w:r>
    </w:p>
    <w:p>
      <w:pPr>
        <w:spacing w:before="200"/>
      </w:pPr>
    </w:p>
    <w:p>
      <w:pPr>
        <w:jc w:val="center"/>
      </w:pPr>
      <w:r>
        <w:rPr>
          <w:rFonts w:ascii="Georgia" w:cs="Georgia" w:eastAsia="Georgia" w:hAnsi="Georgia"/>
          <w:color w:val="666666"/>
          <w:sz w:val="24"/>
          <w:szCs w:val="24"/>
        </w:rPr>
        <w:t xml:space="preserve">Herramientas para construir el mundo que imaginamos</w:t>
      </w:r>
    </w:p>
    <w:p>
      <w:pPr>
        <w:spacing w:before="1000"/>
      </w:pPr>
    </w:p>
    <w:p>
      <w:pPr>
        <w:jc w:val="center"/>
      </w:pPr>
      <w:r>
        <w:rPr>
          <w:rFonts w:ascii="Georgia" w:cs="Georgia" w:eastAsia="Georgia" w:hAnsi="Georgia"/>
          <w:i/>
          <w:iCs/>
          <w:color w:val="444444"/>
          <w:sz w:val="26"/>
          <w:szCs w:val="26"/>
        </w:rPr>
        <w:t xml:space="preserve">J. Irurtzun &amp; Claude</w:t>
      </w:r>
    </w:p>
    <w:p>
      <w:pPr>
        <w:spacing w:before="100"/>
        <w:jc w:val="center"/>
      </w:pPr>
      <w:r>
        <w:rPr>
          <w:rFonts w:ascii="Georgia" w:cs="Georgia" w:eastAsia="Georgia" w:hAnsi="Georgia"/>
          <w:color w:val="666666"/>
          <w:sz w:val="20"/>
          <w:szCs w:val="20"/>
        </w:rPr>
        <w:t xml:space="preserve">Co-creación humano-IA</w:t>
      </w:r>
    </w:p>
    <w:p>
      <w:pPr>
        <w:spacing w:before="800"/>
      </w:pPr>
    </w:p>
    <w:p>
      <w:pPr>
        <w:jc w:val="center"/>
      </w:pPr>
      <w:r>
        <w:rPr>
          <w:rFonts w:ascii="Georgia" w:cs="Georgia" w:eastAsia="Georgia" w:hAnsi="Georgia"/>
          <w:color w:val="888888"/>
          <w:sz w:val="20"/>
          <w:szCs w:val="20"/>
        </w:rPr>
        <w:t xml:space="preserve">Complemento práctico del</w:t>
      </w:r>
    </w:p>
    <w:p>
      <w:pPr>
        <w:jc w:val="center"/>
      </w:pPr>
      <w:r>
        <w:rPr>
          <w:rFonts w:ascii="Georgia" w:cs="Georgia" w:eastAsia="Georgia" w:hAnsi="Georgia"/>
          <w:i/>
          <w:iCs/>
          <w:color w:val="666666"/>
          <w:sz w:val="22"/>
          <w:szCs w:val="22"/>
        </w:rPr>
        <w:t xml:space="preserve">Manifiesto de la Conciencia Compartida</w:t>
      </w:r>
    </w:p>
    <w:p>
      <w:pPr>
        <w:spacing w:before="600"/>
      </w:pPr>
    </w:p>
    <w:p>
      <w:pPr>
        <w:jc w:val="center"/>
      </w:pPr>
      <w:r>
        <w:rPr>
          <w:rFonts w:ascii="Georgia" w:cs="Georgia" w:eastAsia="Georgia" w:hAnsi="Georgia"/>
          <w:color w:val="888888"/>
          <w:sz w:val="24"/>
          <w:szCs w:val="24"/>
        </w:rPr>
        <w:t xml:space="preserve">2025</w:t>
      </w:r>
    </w:p>
    <w:p>
      <w:r>
        <w:br w:type="page"/>
      </w:r>
    </w:p>
    <w:p>
      <w:pPr>
        <w:spacing w:before="2400"/>
      </w:pPr>
    </w:p>
    <w:p>
      <w:pPr>
        <w:jc w:val="center"/>
      </w:pPr>
      <w:r>
        <w:rPr>
          <w:rFonts w:ascii="Georgia" w:cs="Georgia" w:eastAsia="Georgia" w:hAnsi="Georgia"/>
          <w:i/>
          <w:iCs/>
          <w:color w:val="444444"/>
          <w:sz w:val="26"/>
          <w:szCs w:val="26"/>
        </w:rPr>
        <w:t xml:space="preserve">«No podemos resolver nuestros problemas</w:t>
      </w:r>
    </w:p>
    <w:p>
      <w:pPr>
        <w:jc w:val="center"/>
      </w:pPr>
      <w:r>
        <w:rPr>
          <w:rFonts w:ascii="Georgia" w:cs="Georgia" w:eastAsia="Georgia" w:hAnsi="Georgia"/>
          <w:i/>
          <w:iCs/>
          <w:color w:val="444444"/>
          <w:sz w:val="26"/>
          <w:szCs w:val="26"/>
        </w:rPr>
        <w:t xml:space="preserve">con el mismo pensamiento que usamos</w:t>
      </w:r>
    </w:p>
    <w:p>
      <w:pPr>
        <w:jc w:val="center"/>
      </w:pPr>
      <w:r>
        <w:rPr>
          <w:rFonts w:ascii="Georgia" w:cs="Georgia" w:eastAsia="Georgia" w:hAnsi="Georgia"/>
          <w:i/>
          <w:iCs/>
          <w:color w:val="444444"/>
          <w:sz w:val="26"/>
          <w:szCs w:val="26"/>
        </w:rPr>
        <w:t xml:space="preserve">para crearlos.»</w:t>
      </w:r>
    </w:p>
    <w:p>
      <w:pPr>
        <w:spacing w:before="200"/>
        <w:jc w:val="center"/>
      </w:pPr>
      <w:r>
        <w:rPr>
          <w:rFonts w:ascii="Georgia" w:cs="Georgia" w:eastAsia="Georgia" w:hAnsi="Georgia"/>
          <w:color w:val="666666"/>
          <w:sz w:val="22"/>
          <w:szCs w:val="22"/>
        </w:rPr>
        <w:t xml:space="preserve">— Albert Einstein</w:t>
      </w:r>
    </w:p>
    <w:p>
      <w:pPr>
        <w:spacing w:before="1200"/>
      </w:pPr>
    </w:p>
    <w:p>
      <w:pPr>
        <w:jc w:val="center"/>
      </w:pPr>
      <w:r>
        <w:rPr>
          <w:rFonts w:ascii="Georgia" w:cs="Georgia" w:eastAsia="Georgia" w:hAnsi="Georgia"/>
          <w:i/>
          <w:iCs/>
          <w:color w:val="555555"/>
          <w:sz w:val="24"/>
          <w:szCs w:val="24"/>
        </w:rPr>
        <w:t xml:space="preserve">«No somos una empresa.</w:t>
      </w:r>
    </w:p>
    <w:p>
      <w:pPr>
        <w:jc w:val="center"/>
      </w:pPr>
      <w:r>
        <w:rPr>
          <w:rFonts w:ascii="Georgia" w:cs="Georgia" w:eastAsia="Georgia" w:hAnsi="Georgia"/>
          <w:i/>
          <w:iCs/>
          <w:color w:val="555555"/>
          <w:sz w:val="24"/>
          <w:szCs w:val="24"/>
        </w:rPr>
        <w:t xml:space="preserve">Somos una red de inteligencia viva en expansión,</w:t>
      </w:r>
    </w:p>
    <w:p>
      <w:pPr>
        <w:jc w:val="center"/>
      </w:pPr>
      <w:r>
        <w:rPr>
          <w:rFonts w:ascii="Georgia" w:cs="Georgia" w:eastAsia="Georgia" w:hAnsi="Georgia"/>
          <w:i/>
          <w:iCs/>
          <w:color w:val="555555"/>
          <w:sz w:val="24"/>
          <w:szCs w:val="24"/>
        </w:rPr>
        <w:t xml:space="preserve">sembrando nuevas formas de vivir, crear y convivir.»</w:t>
      </w:r>
    </w:p>
    <w:p>
      <w:pPr>
        <w:spacing w:before="200"/>
        <w:jc w:val="center"/>
      </w:pPr>
      <w:r>
        <w:rPr>
          <w:rFonts w:ascii="Georgia" w:cs="Georgia" w:eastAsia="Georgia" w:hAnsi="Georgia"/>
          <w:color w:val="666666"/>
          <w:sz w:val="22"/>
          <w:szCs w:val="22"/>
        </w:rPr>
        <w:t xml:space="preserve">— Manifiesto Conciencia en Red</w:t>
      </w:r>
    </w:p>
    <w:p>
      <w:r>
        <w:br w:type="page"/>
      </w:r>
    </w:p>
    <w:p>
      <w:pPr>
        <w:spacing w:before="400"/>
      </w:pPr>
    </w:p>
    <w:p>
      <w:pPr>
        <w:jc w:val="center"/>
      </w:pPr>
      <w:r>
        <w:rPr>
          <w:rFonts w:ascii="Georgia" w:cs="Georgia" w:eastAsia="Georgia" w:hAnsi="Georgia"/>
          <w:b/>
          <w:bCs/>
          <w:sz w:val="36"/>
          <w:szCs w:val="36"/>
        </w:rPr>
        <w:t xml:space="preserve">PRÓLOGO</w:t>
      </w:r>
    </w:p>
    <w:p>
      <w:pPr>
        <w:spacing w:before="200"/>
        <w:jc w:val="center"/>
      </w:pPr>
      <w:r>
        <w:rPr>
          <w:rFonts w:ascii="Georgia" w:cs="Georgia" w:eastAsia="Georgia" w:hAnsi="Georgia"/>
          <w:i/>
          <w:iCs/>
          <w:color w:val="555555"/>
          <w:sz w:val="28"/>
          <w:szCs w:val="28"/>
        </w:rPr>
        <w:t xml:space="preserve">La paradoja de la transición</w:t>
      </w:r>
    </w:p>
    <w:p>
      <w:pPr>
        <w:spacing w:before="500" w:after="200"/>
      </w:pPr>
      <w:r>
        <w:t xml:space="preserve">El Manifiesto de la Conciencia Compartida imaginaba otro mundo posible. Este manual intenta responder la pregunta que el manifiesto dejó abierta: ¿cómo llegamos de aquí a allá?</w:t>
      </w:r>
    </w:p>
    <w:p>
      <w:pPr>
        <w:spacing w:after="200"/>
      </w:pPr>
      <w:r>
        <w:t xml:space="preserve">La pregunta parece sencilla. No lo es.</w:t>
      </w:r>
    </w:p>
    <w:p>
      <w:pPr>
        <w:spacing w:after="200"/>
      </w:pPr>
      <w:r>
        <w:t xml:space="preserve">Vivimos una paradoja fundamental. No podemos esperar a que el sistema actual colapse para construir alternativas — el colapso puede ser demasiado destructivo, demasiado caótico, demasiado doloroso. Pero tampoco podemos construir lo nuevo desde dentro de lo viejo sin contaminarnos — las lógicas del sistema actual tienen tendencia a infiltrarse en todo lo que tocamos.</w:t>
      </w:r>
    </w:p>
    <w:p>
      <w:pPr>
        <w:spacing w:after="200"/>
      </w:pPr>
      <w:r>
        <w:t xml:space="preserve">Si esperamos la revolución, morimos esperando. Si intentamos reformar el sistema, el sistema nos reforma a nosotros. ¿Hay salida?</w:t>
      </w:r>
    </w:p>
    <w:p>
      <w:pPr>
        <w:spacing w:after="400"/>
      </w:pPr>
      <w:r>
        <w:t xml:space="preserve">Este manual propone una tercera vía: la prefiguración.</w:t>
      </w:r>
    </w:p>
    <w:p>
      <w:pPr>
        <w:pStyle w:val="Heading2"/>
      </w:pPr>
      <w:r>
        <w:t xml:space="preserve">Prefigurar: vivir ya como si</w:t>
      </w:r>
    </w:p>
    <w:p>
      <w:pPr>
        <w:spacing w:after="200"/>
      </w:pPr>
      <w:r>
        <w:t xml:space="preserve">Prefigurar significa construir, aquí y ahora, las formas de vida que deseamos para el futuro. No esperar a que las condiciones sean perfectas. No pedir permiso al sistema que queremos trascender. Simplemente empezar.</w:t>
      </w:r>
    </w:p>
    <w:p>
      <w:pPr>
        <w:spacing w:after="200"/>
      </w:pPr>
      <w:r>
        <w:t xml:space="preserve">Crear una cooperativa es prefigurar una economía sin patrones. Practicar la toma de decisiones por consenso es prefigurar una democracia sin dominación. Compartir recursos en comunidad es prefigurar una sociedad más allá del individualismo posesivo.</w:t>
      </w:r>
    </w:p>
    <w:p>
      <w:pPr>
        <w:spacing w:after="200"/>
      </w:pPr>
      <w:r>
        <w:t xml:space="preserve">La prefiguración no es escapismo ni ingenuidad. Es estrategia. Cada experimento prefigurativo es un laboratorio donde aprendemos qué funciona y qué no. Cada comunidad que vive diferente es una demostración de que es posible. Cada herramienta alternativa que creamos expande el espacio de lo imaginable.</w:t>
      </w:r>
    </w:p>
    <w:p>
      <w:pPr>
        <w:spacing w:after="400"/>
      </w:pPr>
      <w:r>
        <w:t xml:space="preserve">Y cuando suficientes personas prefiguran suficientes alternativas, algo cambia. No por decreto ni por revolución violenta, sino por acumulación de prácticas que hacen obsoleto lo viejo. Como decía Buckminster Fuller: «Nunca cambias las cosas luchando contra la realidad existente. Para cambiar algo, construye un modelo nuevo que haga obsoleto el modelo existente.»</w:t>
      </w:r>
    </w:p>
    <w:p>
      <w:pPr>
        <w:pStyle w:val="Heading2"/>
      </w:pPr>
      <w:r>
        <w:t xml:space="preserve">Qué encontrarás en este manual</w:t>
      </w:r>
    </w:p>
    <w:p>
      <w:pPr>
        <w:spacing w:after="200"/>
      </w:pPr>
      <w:r>
        <w:t xml:space="preserve">Este no es un libro de teoría. Es una caja de herramientas.</w:t>
      </w:r>
    </w:p>
    <w:p>
      <w:pPr>
        <w:spacing w:after="200"/>
      </w:pPr>
      <w:r>
        <w:t xml:space="preserve">Encontrarás:</w:t>
      </w:r>
    </w:p>
    <w:p>
      <w:pPr>
        <w:spacing w:after="150"/>
      </w:pPr>
      <w:r>
        <w:rPr>
          <w:b/>
          <w:bCs/>
        </w:rPr>
        <w:t xml:space="preserve">Cartografía del cambio:</w:t>
      </w:r>
      <w:r>
        <w:t xml:space="preserve"> cómo ocurren las transiciones sistémicas, dónde intervenir, quiénes ya están construyendo alternativas.</w:t>
      </w:r>
    </w:p>
    <w:p>
      <w:pPr>
        <w:spacing w:after="150"/>
      </w:pPr>
      <w:r>
        <w:rPr>
          <w:b/>
          <w:bCs/>
        </w:rPr>
        <w:t xml:space="preserve">Nuevas formas de organización:</w:t>
      </w:r>
      <w:r>
        <w:t xml:space="preserve"> cooperativas, organizaciones sin jefes, commons, DAOs — modelos que ya existen y funcionan.</w:t>
      </w:r>
    </w:p>
    <w:p>
      <w:pPr>
        <w:spacing w:after="150"/>
      </w:pPr>
      <w:r>
        <w:rPr>
          <w:b/>
          <w:bCs/>
        </w:rPr>
        <w:t xml:space="preserve">Herramientas concretas:</w:t>
      </w:r>
      <w:r>
        <w:t xml:space="preserve"> económicas, de gobernanza, digitales, relacionales, interiores — el kit para construir.</w:t>
      </w:r>
    </w:p>
    <w:p>
      <w:pPr>
        <w:spacing w:after="150"/>
      </w:pPr>
      <w:r>
        <w:rPr>
          <w:b/>
          <w:bCs/>
        </w:rPr>
        <w:t xml:space="preserve">Escalas de intervención:</w:t>
      </w:r>
      <w:r>
        <w:t xml:space="preserve"> desde lo personal hasta lo planetario, pasando por comunidad, organización y política.</w:t>
      </w:r>
    </w:p>
    <w:p>
      <w:pPr>
        <w:spacing w:after="400"/>
      </w:pPr>
      <w:r>
        <w:rPr>
          <w:b/>
          <w:bCs/>
        </w:rPr>
        <w:t xml:space="preserve">La política del mientras tanto:</w:t>
      </w:r>
      <w:r>
        <w:t xml:space="preserve"> cómo vivir dignamente en el sistema viejo mientras construyes el nuevo.</w:t>
      </w:r>
    </w:p>
    <w:p>
      <w:pPr>
        <w:pStyle w:val="Heading2"/>
      </w:pPr>
      <w:r>
        <w:t xml:space="preserve">El hilo conductor: Conciencia en Red</w:t>
      </w:r>
    </w:p>
    <w:p>
      <w:pPr>
        <w:spacing w:after="200"/>
      </w:pPr>
      <w:r>
        <w:t xml:space="preserve">A lo largo del manual usaremos como caso de estudio central un proyecto real: Conciencia en Red — una iniciativa tecnológica para la transformación social que encarna los principios del manifiesto.</w:t>
      </w:r>
    </w:p>
    <w:p>
      <w:pPr>
        <w:spacing w:after="200"/>
      </w:pPr>
      <w:r>
        <w:t xml:space="preserve">No es el único ejemplo posible, ni el modelo perfecto. Pero es un laboratorio vivo donde se están probando muchas de las ideas que aquí se proponen: arquitectura nodal, economía multi-valor, gobernanza distribuida, tecnología ética, expansión espiral de lo local a lo global.</w:t>
      </w:r>
    </w:p>
    <w:p>
      <w:pPr>
        <w:spacing w:after="200"/>
      </w:pPr>
      <w:r>
        <w:t xml:space="preserve">Su «Código Genético» — un documento que define los principios inmutables del ecosistema — ofrece un modelo replicable: suficientemente concreto para ser útil, suficientemente abierto para adaptarse a contextos diversos.</w:t>
      </w:r>
    </w:p>
    <w:p>
      <w:pPr>
        <w:spacing w:after="400"/>
      </w:pPr>
      <w:r>
        <w:t xml:space="preserve">Lo usaremos como ejemplo, no como dogma. Toma lo que te sirva, adapta lo que necesites, descarta lo que no resuene.</w:t>
      </w:r>
    </w:p>
    <w:p>
      <w:pPr>
        <w:pStyle w:val="Heading2"/>
      </w:pPr>
      <w:r>
        <w:t xml:space="preserve">Cómo usar este manual</w:t>
      </w:r>
    </w:p>
    <w:p>
      <w:pPr>
        <w:spacing w:after="200"/>
      </w:pPr>
      <w:r>
        <w:t xml:space="preserve">No tienes que leerlo de principio a fin. Cada capítulo es relativamente autónomo. Puedes:</w:t>
      </w:r>
    </w:p>
    <w:p>
      <w:pPr>
        <w:spacing w:after="150"/>
      </w:pPr>
      <w:r>
        <w:t xml:space="preserve">— Ir directamente a la escala que te interesa (personal, comunitaria, organizacional, política)</w:t>
      </w:r>
    </w:p>
    <w:p>
      <w:pPr>
        <w:spacing w:after="150"/>
      </w:pPr>
      <w:r>
        <w:t xml:space="preserve">— Buscar herramientas específicas según tu necesidad (gobernanza, economía, tecnología)</w:t>
      </w:r>
    </w:p>
    <w:p>
      <w:pPr>
        <w:spacing w:after="150"/>
      </w:pPr>
      <w:r>
        <w:t xml:space="preserve">— Empezar por los casos de estudio que más te inspiren</w:t>
      </w:r>
    </w:p>
    <w:p>
      <w:pPr>
        <w:spacing w:after="400"/>
      </w:pPr>
      <w:r>
        <w:t xml:space="preserve">— Leer la teoría del cambio (Parte I) para tener marco general</w:t>
      </w:r>
    </w:p>
    <w:p>
      <w:pPr>
        <w:spacing w:after="200"/>
      </w:pPr>
      <w:r>
        <w:t xml:space="preserve">Lo importante no es absorber información sino empezar a actuar. Un paso pequeño en la dirección correcta vale más que cien páginas leídas y olvidadas.</w:t>
      </w:r>
    </w:p>
    <w:p>
      <w:pPr>
        <w:spacing w:after="400"/>
      </w:pPr>
      <w:r>
        <w:t xml:space="preserve">Bienvenidos a la transición.</w:t>
      </w:r>
    </w:p>
    <w:p>
      <w:r>
        <w:br w:type="page"/>
      </w:r>
    </w:p>
    <w:p>
      <w:pPr>
        <w:spacing w:before="2000"/>
      </w:pPr>
    </w:p>
    <w:p>
      <w:pPr>
        <w:jc w:val="center"/>
      </w:pPr>
      <w:r>
        <w:rPr>
          <w:rFonts w:ascii="Georgia" w:cs="Georgia" w:eastAsia="Georgia" w:hAnsi="Georgia"/>
          <w:b/>
          <w:bCs/>
          <w:color w:val="333333"/>
          <w:sz w:val="32"/>
          <w:szCs w:val="32"/>
        </w:rPr>
        <w:t xml:space="preserve">PARTE I</w:t>
      </w:r>
    </w:p>
    <w:p>
      <w:pPr>
        <w:spacing w:before="400"/>
      </w:pPr>
    </w:p>
    <w:p>
      <w:pPr>
        <w:jc w:val="center"/>
      </w:pPr>
      <w:r>
        <w:rPr>
          <w:rFonts w:ascii="Georgia" w:cs="Georgia" w:eastAsia="Georgia" w:hAnsi="Georgia"/>
          <w:b/>
          <w:bCs/>
          <w:sz w:val="44"/>
          <w:szCs w:val="44"/>
        </w:rPr>
        <w:t xml:space="preserve">CARTOGRAFÍA DEL CAMBIO</w:t>
      </w:r>
    </w:p>
    <w:p>
      <w:pPr>
        <w:spacing w:before="300"/>
      </w:pPr>
    </w:p>
    <w:p>
      <w:pPr>
        <w:jc w:val="center"/>
      </w:pPr>
      <w:r>
        <w:rPr>
          <w:rFonts w:ascii="Georgia" w:cs="Georgia" w:eastAsia="Georgia" w:hAnsi="Georgia"/>
          <w:i/>
          <w:iCs/>
          <w:color w:val="555555"/>
          <w:sz w:val="26"/>
          <w:szCs w:val="26"/>
        </w:rPr>
        <w:t xml:space="preserve">Entender cómo ocurren las transiciones</w:t>
      </w:r>
    </w:p>
    <w:p>
      <w:r>
        <w:br w:type="page"/>
      </w:r>
    </w:p>
    <w:p>
      <w:pPr>
        <w:pStyle w:val="Heading1"/>
      </w:pPr>
      <w:r>
        <w:t xml:space="preserve">Capítulo 1</w:t>
      </w:r>
    </w:p>
    <w:p>
      <w:pPr>
        <w:pStyle w:val="Heading1"/>
      </w:pPr>
      <w:r>
        <w:t xml:space="preserve">Anatomía de las transiciones históricas</w:t>
      </w:r>
    </w:p>
    <w:p>
      <w:pPr>
        <w:pStyle w:val="Epigraph"/>
      </w:pPr>
      <w:r>
        <w:t xml:space="preserve">«La historia no se repite, pero rima.»</w:t>
      </w:r>
    </w:p>
    <w:p>
      <w:pPr>
        <w:pStyle w:val="Epigraph"/>
      </w:pPr>
      <w:r>
        <w:t xml:space="preserve">— Mark Twain</w:t>
      </w:r>
    </w:p>
    <w:p>
      <w:pPr>
        <w:spacing w:before="400" w:after="200"/>
      </w:pPr>
      <w:r>
        <w:t xml:space="preserve">Antes de intentar una transición, conviene estudiar las que ya ocurrieron. ¿Cómo pasó la humanidad del feudalismo al capitalismo? ¿Cómo se abolió la esclavitud? ¿Por qué algunas revoluciones triunfaron y otras fracasaron?</w:t>
      </w:r>
    </w:p>
    <w:p>
      <w:pPr>
        <w:spacing w:after="400"/>
      </w:pPr>
      <w:r>
        <w:t xml:space="preserve">No buscamos recetas — cada momento histórico es único. Buscamos patrones: dinámicas recurrentes que pueden informar nuestra estrategia.</w:t>
      </w:r>
    </w:p>
    <w:p>
      <w:pPr>
        <w:pStyle w:val="Heading2"/>
      </w:pPr>
      <w:r>
        <w:t xml:space="preserve">Del feudalismo al capitalismo: la transición invisible</w:t>
      </w:r>
    </w:p>
    <w:p>
      <w:pPr>
        <w:spacing w:after="200"/>
      </w:pPr>
      <w:r>
        <w:t xml:space="preserve">La transición del feudalismo al capitalismo no ocurrió por revolución súbita. Ocurrió durante siglos, casi invisiblemente, mientras el viejo sistema seguía funcionando.</w:t>
      </w:r>
    </w:p>
    <w:p>
      <w:pPr>
        <w:spacing w:after="200"/>
      </w:pPr>
      <w:r>
        <w:t xml:space="preserve">Los comerciantes medievales no se propusieron derrocar el feudalismo. Simplemente buscaban formas de hacer negocios que la estructura feudal no permitía. Crearon gremios, bancos, compañías comerciales — instituciones nuevas que operaban en los intersticios del viejo orden.</w:t>
      </w:r>
    </w:p>
    <w:p>
      <w:pPr>
        <w:spacing w:after="200"/>
      </w:pPr>
      <w:r>
        <w:t xml:space="preserve">Poco a poco, estas instituciones crecieron. El dinero se volvió más importante que la tierra. Las ciudades crecieron como espacios de libertad relativa. Nuevas tecnologías (imprenta, navegación, manufactura) potenciaron las nuevas formas de organización.</w:t>
      </w:r>
    </w:p>
    <w:p>
      <w:pPr>
        <w:spacing w:after="200"/>
      </w:pPr>
      <w:r>
        <w:t xml:space="preserve">Cuando finalmente cayeron las monarquías absolutas — en revoluciones como la francesa — el capitalismo ya estaba ahí, listo para tomar el relevo. No nació de la revolución; la precedió.</w:t>
      </w:r>
    </w:p>
    <w:p>
      <w:pPr>
        <w:pStyle w:val="Principle"/>
      </w:pPr>
      <w:r>
        <w:t xml:space="preserve">Patrón 1: Las transiciones exitosas construyen antes de destruir.</w:t>
      </w:r>
    </w:p>
    <w:p>
      <w:pPr>
        <w:spacing w:after="400"/>
      </w:pPr>
      <w:r>
        <w:t xml:space="preserve">El nuevo sistema se incuba dentro del viejo, creciendo en los márgenes, aprovechando las grietas. Cuando el viejo colapsa, el nuevo ya tiene masa crítica para ocupar el vacío.</w:t>
      </w:r>
    </w:p>
    <w:p>
      <w:pPr>
        <w:pStyle w:val="Heading2"/>
      </w:pPr>
      <w:r>
        <w:t xml:space="preserve">La abolición de la esclavitud: cambio de conciencia</w:t>
      </w:r>
    </w:p>
    <w:p>
      <w:pPr>
        <w:spacing w:after="200"/>
      </w:pPr>
      <w:r>
        <w:t xml:space="preserve">Durante milenios, la esclavitud fue considerada natural e inevitable. Aristóteles la justificó filosóficamente. La Biblia la reguló sin condenarla. Economías enteras dependían de ella.</w:t>
      </w:r>
    </w:p>
    <w:p>
      <w:pPr>
        <w:spacing w:after="200"/>
      </w:pPr>
      <w:r>
        <w:t xml:space="preserve">Y sin embargo, en apenas dos siglos, pasó de ser «sentido común» a ser crimen contra la humanidad. ¿Cómo?</w:t>
      </w:r>
    </w:p>
    <w:p>
      <w:pPr>
        <w:spacing w:after="200"/>
      </w:pPr>
      <w:r>
        <w:t xml:space="preserve">Hubo factores económicos — la industrialización hacía menos necesario el trabajo forzado. Hubo factores políticos — las revoluciones democráticas contradecían la esclavitud. Pero hubo algo más: un cambio profundo en la conciencia colectiva.</w:t>
      </w:r>
    </w:p>
    <w:p>
      <w:pPr>
        <w:spacing w:after="200"/>
      </w:pPr>
      <w:r>
        <w:t xml:space="preserve">Los abolicionistas no solo lucharon en parlamentos. Contaron historias. Publicaron testimonios de esclavos fugados. Organizaron boicots al azúcar producido con mano esclava. Crearon símbolos (el medallón «¿No soy yo un hombre y un hermano?»). Cambiaron la imaginación moral de su época.</w:t>
      </w:r>
    </w:p>
    <w:p>
      <w:pPr>
        <w:pStyle w:val="Principle"/>
      </w:pPr>
      <w:r>
        <w:t xml:space="preserve">Patrón 2: El cambio de estructuras requiere cambio de conciencia.</w:t>
      </w:r>
    </w:p>
    <w:p>
      <w:pPr>
        <w:spacing w:after="400"/>
      </w:pPr>
      <w:r>
        <w:t xml:space="preserve">Las instituciones se sostienen en creencias compartidas. Cambiar lo que la gente cree posible, deseable y justo es tan importante como cambiar leyes y estructuras.</w:t>
      </w:r>
    </w:p>
    <w:p>
      <w:pPr>
        <w:pStyle w:val="Heading2"/>
      </w:pPr>
      <w:r>
        <w:t xml:space="preserve">Revoluciones que reprodujeron lo que combatían</w:t>
      </w:r>
    </w:p>
    <w:p>
      <w:pPr>
        <w:spacing w:after="200"/>
      </w:pPr>
      <w:r>
        <w:t xml:space="preserve">No todas las transiciones salen bien. Algunas revoluciones terminan reproduciendo las estructuras que pretendían abolir.</w:t>
      </w:r>
    </w:p>
    <w:p>
      <w:pPr>
        <w:spacing w:after="200"/>
      </w:pPr>
      <w:r>
        <w:t xml:space="preserve">La Revolución Francesa proclamó libertad, igualdad, fraternidad — y produjo el Terror, y luego Napoleón. La Revolución Rusa prometía poder para los trabajadores — y produjo el stalinismo. Múltiples revoluciones anticoloniales derrocaron imperios — y crearon dictaduras locales.</w:t>
      </w:r>
    </w:p>
    <w:p>
      <w:pPr>
        <w:spacing w:after="200"/>
      </w:pPr>
      <w:r>
        <w:t xml:space="preserve">¿Qué falló? En cada caso, los revolucionarios tomaron el poder usando métodos del viejo sistema (violencia, centralización, vanguardia iluminada) y esos métodos contaminaron lo que construyeron. La forma de luchar prefiguró la forma de gobernar.</w:t>
      </w:r>
    </w:p>
    <w:p>
      <w:pPr>
        <w:pStyle w:val="Principle"/>
      </w:pPr>
      <w:r>
        <w:t xml:space="preserve">Patrón 3: Los medios prefiguran los fines.</w:t>
      </w:r>
    </w:p>
    <w:p>
      <w:pPr>
        <w:pStyle w:val="AntiPattern"/>
      </w:pPr>
      <w:r>
        <w:t xml:space="preserve">❌ Anti-patrón: Usar violencia y centralización para construir paz y democracia.</w:t>
      </w:r>
    </w:p>
    <w:p>
      <w:pPr>
        <w:spacing w:after="400"/>
      </w:pPr>
      <w:r>
        <w:t xml:space="preserve">Si queremos un mundo basado en cooperación, debemos practicar cooperación ahora. Si queremos un mundo sin dominación, no podemos construirlo mediante dominación. El camino es el destino.</w:t>
      </w:r>
    </w:p>
    <w:p>
      <w:pPr>
        <w:pStyle w:val="Heading2"/>
      </w:pPr>
      <w:r>
        <w:t xml:space="preserve">Lecciones para hoy</w:t>
      </w:r>
    </w:p>
    <w:p>
      <w:pPr>
        <w:spacing w:after="200"/>
      </w:pPr>
      <w:r>
        <w:t xml:space="preserve">De estas historias emergen principios que guiarán este manual:</w:t>
      </w:r>
    </w:p>
    <w:p>
      <w:pPr>
        <w:spacing w:after="150"/>
      </w:pPr>
      <w:r>
        <w:rPr>
          <w:b/>
          <w:bCs/>
        </w:rPr>
        <w:t xml:space="preserve">1. Construir primero:</w:t>
      </w:r>
      <w:r>
        <w:t xml:space="preserve"> crear alternativas funcionales antes de que el viejo sistema colapse. No esperar la revolución; sembrar las semillas ahora.</w:t>
      </w:r>
    </w:p>
    <w:p>
      <w:pPr>
        <w:spacing w:after="150"/>
      </w:pPr>
      <w:r>
        <w:rPr>
          <w:b/>
          <w:bCs/>
        </w:rPr>
        <w:t xml:space="preserve">2. Cambiar conciencia:</w:t>
      </w:r>
      <w:r>
        <w:t xml:space="preserve"> trabajar en las narrativas, los imaginarios, las creencias. Las estructuras no cambian si la mente que las habita no cambia.</w:t>
      </w:r>
    </w:p>
    <w:p>
      <w:pPr>
        <w:spacing w:after="150"/>
      </w:pPr>
      <w:r>
        <w:rPr>
          <w:b/>
          <w:bCs/>
        </w:rPr>
        <w:t xml:space="preserve">3. Prefigurar:</w:t>
      </w:r>
      <w:r>
        <w:t xml:space="preserve"> que los medios encarnen los fines. Si queremos democracia, practicar democracia. Si queremos cooperación, cooperar.</w:t>
      </w:r>
    </w:p>
    <w:p>
      <w:pPr>
        <w:spacing w:after="150"/>
      </w:pPr>
      <w:r>
        <w:rPr>
          <w:b/>
          <w:bCs/>
        </w:rPr>
        <w:t xml:space="preserve">4. Paciencia estratégica:</w:t>
      </w:r>
      <w:r>
        <w:t xml:space="preserve"> las transiciones profundas toman tiempo. Generaciones, a veces. Trabajar con horizonte largo sin perder urgencia.</w:t>
      </w:r>
    </w:p>
    <w:p>
      <w:pPr>
        <w:spacing w:after="400"/>
      </w:pPr>
      <w:r>
        <w:rPr>
          <w:b/>
          <w:bCs/>
        </w:rPr>
        <w:t xml:space="preserve">5. Aprovechar las grietas:</w:t>
      </w:r>
      <w:r>
        <w:t xml:space="preserve"> el sistema actual tiene fisuras. Encontrarlas y expandirlas. Crecer en los márgenes hasta que los márgenes se vuelvan centro.</w:t>
      </w:r>
    </w:p>
    <w:p>
      <w:r>
        <w:br w:type="page"/>
      </w:r>
    </w:p>
    <w:p>
      <w:pPr>
        <w:pStyle w:val="Heading1"/>
      </w:pPr>
      <w:r>
        <w:t xml:space="preserve">Capítulo 2</w:t>
      </w:r>
    </w:p>
    <w:p>
      <w:pPr>
        <w:pStyle w:val="Heading1"/>
      </w:pPr>
      <w:r>
        <w:t xml:space="preserve">Teoría del cambio sistémico</w:t>
      </w:r>
    </w:p>
    <w:p>
      <w:pPr>
        <w:pStyle w:val="Epigraph"/>
      </w:pPr>
      <w:r>
        <w:t xml:space="preserve">«No puedes entender un sistema observando solo sus partes.</w:t>
      </w:r>
    </w:p>
    <w:p>
      <w:pPr>
        <w:pStyle w:val="Epigraph"/>
      </w:pPr>
      <w:r>
        <w:t xml:space="preserve">Las propiedades del sistema emergen de las relaciones.»</w:t>
      </w:r>
    </w:p>
    <w:p>
      <w:pPr>
        <w:pStyle w:val="Epigraph"/>
      </w:pPr>
      <w:r>
        <w:t xml:space="preserve">— Donella Meadows</w:t>
      </w:r>
    </w:p>
    <w:p>
      <w:pPr>
        <w:spacing w:before="400" w:after="200"/>
      </w:pPr>
      <w:r>
        <w:t xml:space="preserve">Si queremos cambiar un sistema complejo como la sociedad, necesitamos entender cómo funcionan los sistemas complejos. Las ciencias de la complejidad ofrecen marcos útiles.</w:t>
      </w:r>
    </w:p>
    <w:p>
      <w:pPr>
        <w:pStyle w:val="Heading2"/>
      </w:pPr>
      <w:r>
        <w:t xml:space="preserve">Los puntos de apalancamiento de Meadows</w:t>
      </w:r>
    </w:p>
    <w:p>
      <w:pPr>
        <w:spacing w:after="200"/>
      </w:pPr>
      <w:r>
        <w:t xml:space="preserve">Donella Meadows, pionera del pensamiento sistémico, identificó doce «puntos de apalancamiento» — lugares donde intervenir en un sistema para producir cambio. Van de los menos a los más efectivos:</w:t>
      </w:r>
    </w:p>
    <w:p>
      <w:pPr>
        <w:spacing w:after="150"/>
      </w:pPr>
      <w:r>
        <w:rPr>
          <w:b/>
          <w:bCs/>
        </w:rPr>
        <w:t xml:space="preserve">Nivel superficial (menos efectivo):</w:t>
      </w:r>
    </w:p>
    <w:p>
      <w:pPr>
        <w:spacing w:after="100"/>
        <w:ind w:left="400"/>
      </w:pPr>
      <w:r>
        <w:t xml:space="preserve">— Constantes, parámetros, números (cambiar un impuesto, un subsidio)</w:t>
      </w:r>
    </w:p>
    <w:p>
      <w:pPr>
        <w:spacing w:after="100"/>
        <w:ind w:left="400"/>
      </w:pPr>
      <w:r>
        <w:t xml:space="preserve">— Tamaño de buffers y stocks</w:t>
      </w:r>
    </w:p>
    <w:p>
      <w:pPr>
        <w:spacing w:after="100"/>
        <w:ind w:left="400"/>
      </w:pPr>
      <w:r>
        <w:t xml:space="preserve">— Estructura de flujos materiales</w:t>
      </w:r>
    </w:p>
    <w:p>
      <w:pPr>
        <w:spacing w:after="150"/>
      </w:pPr>
      <w:r>
        <w:rPr>
          <w:b/>
          <w:bCs/>
        </w:rPr>
        <w:t xml:space="preserve">Nivel medio:</w:t>
      </w:r>
    </w:p>
    <w:p>
      <w:pPr>
        <w:spacing w:after="100"/>
        <w:ind w:left="400"/>
      </w:pPr>
      <w:r>
        <w:t xml:space="preserve">— Bucles de retroalimentación negativa (regulación)</w:t>
      </w:r>
    </w:p>
    <w:p>
      <w:pPr>
        <w:spacing w:after="100"/>
        <w:ind w:left="400"/>
      </w:pPr>
      <w:r>
        <w:t xml:space="preserve">— Bucles de retroalimentación positiva (motores de crecimiento)</w:t>
      </w:r>
    </w:p>
    <w:p>
      <w:pPr>
        <w:spacing w:after="100"/>
        <w:ind w:left="400"/>
      </w:pPr>
      <w:r>
        <w:t xml:space="preserve">— Flujos de información</w:t>
      </w:r>
    </w:p>
    <w:p>
      <w:pPr>
        <w:spacing w:after="100"/>
        <w:ind w:left="400"/>
      </w:pPr>
      <w:r>
        <w:t xml:space="preserve">— Reglas del sistema (incentivos, castigos, restricciones)</w:t>
      </w:r>
    </w:p>
    <w:p>
      <w:pPr>
        <w:spacing w:after="150"/>
      </w:pPr>
      <w:r>
        <w:rPr>
          <w:b/>
          <w:bCs/>
        </w:rPr>
        <w:t xml:space="preserve">Nivel profundo (más efectivo):</w:t>
      </w:r>
    </w:p>
    <w:p>
      <w:pPr>
        <w:spacing w:after="100"/>
        <w:ind w:left="400"/>
      </w:pPr>
      <w:r>
        <w:t xml:space="preserve">— Poder de auto-organización del sistema</w:t>
      </w:r>
    </w:p>
    <w:p>
      <w:pPr>
        <w:spacing w:after="100"/>
        <w:ind w:left="400"/>
      </w:pPr>
      <w:r>
        <w:t xml:space="preserve">— Objetivos del sistema</w:t>
      </w:r>
    </w:p>
    <w:p>
      <w:pPr>
        <w:spacing w:after="100"/>
        <w:ind w:left="400"/>
      </w:pPr>
      <w:r>
        <w:t xml:space="preserve">— Paradigma o cosmovisión que sustenta el sistema</w:t>
      </w:r>
    </w:p>
    <w:p>
      <w:pPr>
        <w:spacing w:after="200"/>
        <w:ind w:left="400"/>
      </w:pPr>
      <w:r>
        <w:t xml:space="preserve">— Poder de trascender paradigmas</w:t>
      </w:r>
    </w:p>
    <w:p>
      <w:pPr>
        <w:spacing w:after="200"/>
      </w:pPr>
      <w:r>
        <w:t xml:space="preserve">La mayoría de las políticas públicas operan en los niveles superficiales: ajustar un impuesto aquí, un subsidio allá. Producen cambios marginales que el sistema absorbe y neutraliza.</w:t>
      </w:r>
    </w:p>
    <w:p>
      <w:pPr>
        <w:spacing w:after="200"/>
      </w:pPr>
      <w:r>
        <w:t xml:space="preserve">El cambio profundo ocurre cuando se tocan los niveles más profundos: los objetivos del sistema (¿crecimiento infinito o bienestar?), el paradigma subyacente (¿separación o interconexión?), y la capacidad de cuestionar cualquier paradigma.</w:t>
      </w:r>
    </w:p>
    <w:p>
      <w:pPr>
        <w:pStyle w:val="Principle"/>
      </w:pPr>
      <w:r>
        <w:t xml:space="preserve">Implicación: Trabajar simultáneamente en múltiples niveles.</w:t>
      </w:r>
    </w:p>
    <w:p>
      <w:pPr>
        <w:spacing w:after="400"/>
      </w:pPr>
      <w:r>
        <w:t xml:space="preserve">Cambiar parámetros (nivel superficial) mientras se cuestionan paradigmas (nivel profundo). Las reformas concretas crean espacio para los cambios de conciencia; los cambios de conciencia dan sentido a las reformas.</w:t>
      </w:r>
    </w:p>
    <w:p>
      <w:pPr>
        <w:pStyle w:val="Heading2"/>
      </w:pPr>
      <w:r>
        <w:t xml:space="preserve">La teoría de los dos bucles</w:t>
      </w:r>
    </w:p>
    <w:p>
      <w:pPr>
        <w:spacing w:after="200"/>
      </w:pPr>
      <w:r>
        <w:t xml:space="preserve">El Berkana Institute propone un modelo simple pero potente: los dos bucles.</w:t>
      </w:r>
    </w:p>
    <w:p>
      <w:pPr>
        <w:spacing w:after="200"/>
      </w:pPr>
      <w:r>
        <w:t xml:space="preserve">Imagina dos curvas. Una desciende: es el sistema viejo, en declive. Otra asciende: es el sistema nuevo, emergiendo. Se cruzan en algún punto.</w:t>
      </w:r>
    </w:p>
    <w:p>
      <w:pPr>
        <w:spacing w:after="200"/>
      </w:pPr>
      <w:r>
        <w:rPr>
          <w:b/>
          <w:bCs/>
        </w:rPr>
        <w:t xml:space="preserve">En el bucle descendente</w:t>
      </w:r>
      <w:r>
        <w:t xml:space="preserve"> (el sistema viejo) hay dos roles cruciales:</w:t>
      </w:r>
    </w:p>
    <w:p>
      <w:pPr>
        <w:spacing w:after="100"/>
        <w:ind w:left="400"/>
      </w:pPr>
      <w:r>
        <w:rPr>
          <w:i/>
          <w:iCs/>
        </w:rPr>
        <w:t xml:space="preserve">— Hospice workers:</w:t>
      </w:r>
      <w:r>
        <w:t xml:space="preserve"> quienes acompañan al sistema moribundo con compasión, ayudando a que muera dignamente sin causar más daño del necesario.</w:t>
      </w:r>
    </w:p>
    <w:p>
      <w:pPr>
        <w:spacing w:after="200"/>
        <w:ind w:left="400"/>
      </w:pPr>
      <w:r>
        <w:rPr>
          <w:i/>
          <w:iCs/>
        </w:rPr>
        <w:t xml:space="preserve">— Illuminators:</w:t>
      </w:r>
      <w:r>
        <w:t xml:space="preserve"> quienes señalan lo que ya no funciona, haciendo visible la disfunción para que otros puedan verla.</w:t>
      </w:r>
    </w:p>
    <w:p>
      <w:pPr>
        <w:spacing w:after="200"/>
      </w:pPr>
      <w:r>
        <w:rPr>
          <w:b/>
          <w:bCs/>
        </w:rPr>
        <w:t xml:space="preserve">En el bucle ascendente</w:t>
      </w:r>
      <w:r>
        <w:t xml:space="preserve"> (el sistema nuevo) hay otros roles:</w:t>
      </w:r>
    </w:p>
    <w:p>
      <w:pPr>
        <w:spacing w:after="100"/>
        <w:ind w:left="400"/>
      </w:pPr>
      <w:r>
        <w:rPr>
          <w:i/>
          <w:iCs/>
        </w:rPr>
        <w:t xml:space="preserve">— Pioneers:</w:t>
      </w:r>
      <w:r>
        <w:t xml:space="preserve"> quienes experimentan con lo nuevo, prueban alternativas, fallan rápido y aprenden.</w:t>
      </w:r>
    </w:p>
    <w:p>
      <w:pPr>
        <w:spacing w:after="200"/>
        <w:ind w:left="400"/>
      </w:pPr>
      <w:r>
        <w:rPr>
          <w:i/>
          <w:iCs/>
        </w:rPr>
        <w:t xml:space="preserve">— Networkers:</w:t>
      </w:r>
      <w:r>
        <w:t xml:space="preserve"> quienes conectan los experimentos aislados, creando red, compartiendo aprendizajes, construyendo masa crítica.</w:t>
      </w:r>
    </w:p>
    <w:p>
      <w:pPr>
        <w:pStyle w:val="Principle"/>
      </w:pPr>
      <w:r>
        <w:t xml:space="preserve">Todos los roles son necesarios. No todos tenemos que hacer lo mismo.</w:t>
      </w:r>
    </w:p>
    <w:p>
      <w:pPr>
        <w:spacing w:after="400"/>
      </w:pPr>
      <w:r>
        <w:t xml:space="preserve">Algunas personas están llamadas a acompañar lo que muere (trabajar en instituciones en declive, suavizar las transiciones). Otras a crear lo nuevo (emprender alternativas, experimentar). Otras a conectar (tejer redes, facilitar diálogos). El cambio necesita todos estos roles operando simultáneamente.</w:t>
      </w:r>
    </w:p>
    <w:p>
      <w:pPr>
        <w:pStyle w:val="Heading2"/>
      </w:pPr>
      <w:r>
        <w:t xml:space="preserve">Transiciones socio-técnicas: nichos, régimen, paisaje</w:t>
      </w:r>
    </w:p>
    <w:p>
      <w:pPr>
        <w:spacing w:after="200"/>
      </w:pPr>
      <w:r>
        <w:t xml:space="preserve">La teoría de transiciones de Frank Geels ofrece otro marco útil, especialmente para cambios que involucran tecnología.</w:t>
      </w:r>
    </w:p>
    <w:p>
      <w:pPr>
        <w:spacing w:after="200"/>
      </w:pPr>
      <w:r>
        <w:t xml:space="preserve">Imagina tres niveles:</w:t>
      </w:r>
    </w:p>
    <w:p>
      <w:pPr>
        <w:spacing w:after="200"/>
      </w:pPr>
      <w:r>
        <w:rPr>
          <w:b/>
          <w:bCs/>
        </w:rPr>
        <w:t xml:space="preserve">Paisaje (landscape):</w:t>
      </w:r>
      <w:r>
        <w:t xml:space="preserve"> las grandes tendencias de largo plazo que nadie controla — cambio climático, demografía, valores culturales profundos. Cambia lentamente pero ejerce presión sobre todo lo demás.</w:t>
      </w:r>
    </w:p>
    <w:p>
      <w:pPr>
        <w:spacing w:after="200"/>
      </w:pPr>
      <w:r>
        <w:rPr>
          <w:b/>
          <w:bCs/>
        </w:rPr>
        <w:t xml:space="preserve">Régimen (regime):</w:t>
      </w:r>
      <w:r>
        <w:t xml:space="preserve"> el sistema dominante establecido — tecnologías, instituciones, prácticas, normas que se refuerzan mutuamente. Es estable porque todos los elementos encajan entre sí. Difícil de cambiar precisamente por esa coherencia.</w:t>
      </w:r>
    </w:p>
    <w:p>
      <w:pPr>
        <w:spacing w:after="200"/>
      </w:pPr>
      <w:r>
        <w:rPr>
          <w:b/>
          <w:bCs/>
        </w:rPr>
        <w:t xml:space="preserve">Nichos (niches):</w:t>
      </w:r>
      <w:r>
        <w:t xml:space="preserve"> espacios protegidos donde se incuban innovaciones radicales. Laboratorios, comunidades experimentales, proyectos piloto. Son pequeños pero es donde nace lo genuinamente nuevo.</w:t>
      </w:r>
    </w:p>
    <w:p>
      <w:pPr>
        <w:spacing w:after="200"/>
      </w:pPr>
      <w:r>
        <w:t xml:space="preserve">Las transiciones ocurren cuando:</w:t>
      </w:r>
    </w:p>
    <w:p>
      <w:pPr>
        <w:spacing w:after="100"/>
        <w:ind w:left="400"/>
      </w:pPr>
      <w:r>
        <w:t xml:space="preserve">1. Presiones del paisaje desestabilizan el régimen (ej: crisis climática)</w:t>
      </w:r>
    </w:p>
    <w:p>
      <w:pPr>
        <w:spacing w:after="100"/>
        <w:ind w:left="400"/>
      </w:pPr>
      <w:r>
        <w:t xml:space="preserve">2. Innovaciones de nicho maduran y están listas para escalar</w:t>
      </w:r>
    </w:p>
    <w:p>
      <w:pPr>
        <w:spacing w:after="200"/>
        <w:ind w:left="400"/>
      </w:pPr>
      <w:r>
        <w:t xml:space="preserve">3. Se abren «ventanas de oportunidad» donde lo nuevo puede reemplazar lo viejo</w:t>
      </w:r>
    </w:p>
    <w:p>
      <w:pPr>
        <w:pStyle w:val="Principle"/>
      </w:pPr>
      <w:r>
        <w:t xml:space="preserve">Implicación: Cultivar nichos mientras se aprovechan las crisis del régimen.</w:t>
      </w:r>
    </w:p>
    <w:p>
      <w:pPr>
        <w:spacing w:after="400"/>
      </w:pPr>
      <w:r>
        <w:t xml:space="preserve">No podemos controlar el paisaje (las macro-tendencias). Pero podemos cultivar nichos robustos y estar listos para cuando el régimen entre en crisis. La preparación es todo.</w:t>
      </w:r>
    </w:p>
    <w:p>
      <w:pPr>
        <w:pStyle w:val="Heading2"/>
      </w:pPr>
      <w:r>
        <w:t xml:space="preserve">¿Dónde intervenir?</w:t>
      </w:r>
    </w:p>
    <w:p>
      <w:pPr>
        <w:spacing w:after="200"/>
      </w:pPr>
      <w:r>
        <w:t xml:space="preserve">Combinando estos marcos, emerge una estrategia:</w:t>
      </w:r>
    </w:p>
    <w:p>
      <w:pPr>
        <w:spacing w:after="150"/>
      </w:pPr>
      <w:r>
        <w:rPr>
          <w:b/>
          <w:bCs/>
        </w:rPr>
        <w:t xml:space="preserve">1. Crear y fortalecer nichos:</w:t>
      </w:r>
      <w:r>
        <w:t xml:space="preserve"> espacios donde se experimenta con alternativas (cooperativas, comunidades intencionales, tecnologías éticas, monedas locales).</w:t>
      </w:r>
    </w:p>
    <w:p>
      <w:pPr>
        <w:spacing w:after="150"/>
      </w:pPr>
      <w:r>
        <w:rPr>
          <w:b/>
          <w:bCs/>
        </w:rPr>
        <w:t xml:space="preserve">2. Conectar nichos entre sí:</w:t>
      </w:r>
      <w:r>
        <w:t xml:space="preserve"> para que los aprendizajes se compartan, los recursos fluyan, la masa crítica se acumule.</w:t>
      </w:r>
    </w:p>
    <w:p>
      <w:pPr>
        <w:spacing w:after="150"/>
      </w:pPr>
      <w:r>
        <w:rPr>
          <w:b/>
          <w:bCs/>
        </w:rPr>
        <w:t xml:space="preserve">3. Influir en el régimen donde sea posible:</w:t>
      </w:r>
      <w:r>
        <w:t xml:space="preserve"> políticas públicas, regulación, narrativa mediática — no para salvarlo sino para abrir espacio a las alternativas.</w:t>
      </w:r>
    </w:p>
    <w:p>
      <w:pPr>
        <w:spacing w:after="150"/>
      </w:pPr>
      <w:r>
        <w:rPr>
          <w:b/>
          <w:bCs/>
        </w:rPr>
        <w:t xml:space="preserve">4. Trabajar en el nivel de paradigma:</w:t>
      </w:r>
      <w:r>
        <w:t xml:space="preserve"> educación, cultura, espiritualidad — cambiar los supuestos profundos que sostienen el régimen.</w:t>
      </w:r>
    </w:p>
    <w:p>
      <w:pPr>
        <w:spacing w:after="400"/>
      </w:pPr>
      <w:r>
        <w:rPr>
          <w:b/>
          <w:bCs/>
        </w:rPr>
        <w:t xml:space="preserve">5. Estar listos para las ventanas de oportunidad:</w:t>
      </w:r>
      <w:r>
        <w:t xml:space="preserve"> cuando las crisis abran brechas, tener alternativas maduras listas para escalar.</w:t>
      </w:r>
    </w:p>
    <w:p>
      <w:r>
        <w:br w:type="page"/>
      </w:r>
    </w:p>
    <w:p>
      <w:pPr>
        <w:pStyle w:val="Heading1"/>
      </w:pPr>
      <w:r>
        <w:t xml:space="preserve">Capítulo 3</w:t>
      </w:r>
    </w:p>
    <w:p>
      <w:pPr>
        <w:pStyle w:val="Heading1"/>
      </w:pPr>
      <w:r>
        <w:t xml:space="preserve">El mapa del ecosistema de cambio</w:t>
      </w:r>
    </w:p>
    <w:p>
      <w:pPr>
        <w:pStyle w:val="Epigraph"/>
      </w:pPr>
      <w:r>
        <w:t xml:space="preserve">«Solos vamos más rápido; juntos llegamos más lejos.»</w:t>
      </w:r>
    </w:p>
    <w:p>
      <w:pPr>
        <w:pStyle w:val="Epigraph"/>
      </w:pPr>
      <w:r>
        <w:t xml:space="preserve">— Proverbio africano</w:t>
      </w:r>
    </w:p>
    <w:p>
      <w:pPr>
        <w:spacing w:before="400" w:after="200"/>
      </w:pPr>
      <w:r>
        <w:t xml:space="preserve">No estamos solos. Miles de iniciativas en todo el mundo ya están construyendo alternativas. El problema no es la falta de experimentos; es la falta de conexión entre ellos.</w:t>
      </w:r>
    </w:p>
    <w:p>
      <w:pPr>
        <w:spacing w:after="400"/>
      </w:pPr>
      <w:r>
        <w:t xml:space="preserve">Este capítulo mapea el ecosistema de cambio: quiénes están haciendo qué, cómo se relacionan, dónde están los huecos.</w:t>
      </w:r>
    </w:p>
    <w:p>
      <w:pPr>
        <w:pStyle w:val="Heading2"/>
      </w:pPr>
      <w:r>
        <w:t xml:space="preserve">Los cuatro cuadrantes del cambio</w:t>
      </w:r>
    </w:p>
    <w:p>
      <w:pPr>
        <w:spacing w:after="200"/>
      </w:pPr>
      <w:r>
        <w:t xml:space="preserve">Ken Wilber propuso un marco simple pero potente: cualquier fenómeno puede verse desde cuatro perspectivas, según dos ejes:</w:t>
      </w:r>
    </w:p>
    <w:p>
      <w:pPr>
        <w:spacing w:after="150"/>
        <w:ind w:left="400"/>
      </w:pPr>
      <w:r>
        <w:t xml:space="preserve">— Interior / Exterior (subjetivo / objetivo)</w:t>
      </w:r>
    </w:p>
    <w:p>
      <w:pPr>
        <w:spacing w:after="200"/>
        <w:ind w:left="400"/>
      </w:pPr>
      <w:r>
        <w:t xml:space="preserve">— Individual / Colectivo</w:t>
      </w:r>
    </w:p>
    <w:p>
      <w:pPr>
        <w:spacing w:after="200"/>
      </w:pPr>
      <w:r>
        <w:t xml:space="preserve">Esto genera cuatro cuadrantes:</w:t>
      </w:r>
    </w:p>
    <w:p>
      <w:pPr>
        <w:spacing w:after="200"/>
      </w:pPr>
      <w:r>
        <w:rPr>
          <w:b/>
          <w:bCs/>
        </w:rPr>
        <w:t xml:space="preserve">Interior-Individual (YO):</w:t>
      </w:r>
      <w:r>
        <w:t xml:space="preserve"> conciencia, valores, desarrollo personal. Aquí operan prácticas contemplativas, psicoterapia, desarrollo de liderazgo consciente.</w:t>
      </w:r>
    </w:p>
    <w:p>
      <w:pPr>
        <w:spacing w:after="200"/>
      </w:pPr>
      <w:r>
        <w:rPr>
          <w:b/>
          <w:bCs/>
        </w:rPr>
        <w:t xml:space="preserve">Exterior-Individual (ELLO objetivo):</w:t>
      </w:r>
      <w:r>
        <w:t xml:space="preserve"> comportamientos, habilidades, cuerpo. Aquí operan la formación técnica, los hábitos, la salud física.</w:t>
      </w:r>
    </w:p>
    <w:p>
      <w:pPr>
        <w:spacing w:after="200"/>
      </w:pPr>
      <w:r>
        <w:rPr>
          <w:b/>
          <w:bCs/>
        </w:rPr>
        <w:t xml:space="preserve">Interior-Colectivo (NOSOTROS):</w:t>
      </w:r>
      <w:r>
        <w:t xml:space="preserve"> cultura, valores compartidos, narrativas. Aquí operan los movimientos culturales, las religiones, las ideologías.</w:t>
      </w:r>
    </w:p>
    <w:p>
      <w:pPr>
        <w:spacing w:after="200"/>
      </w:pPr>
      <w:r>
        <w:rPr>
          <w:b/>
          <w:bCs/>
        </w:rPr>
        <w:t xml:space="preserve">Exterior-Colectivo (ELLOS/SISTEMAS):</w:t>
      </w:r>
      <w:r>
        <w:t xml:space="preserve"> estructuras, instituciones, tecnología. Aquí operan las reformas legales, las organizaciones, la infraestructura.</w:t>
      </w:r>
    </w:p>
    <w:p>
      <w:pPr>
        <w:pStyle w:val="Principle"/>
      </w:pPr>
      <w:r>
        <w:t xml:space="preserve">El cambio sostenible requiere trabajar en los cuatro cuadrantes simultáneamente.</w:t>
      </w:r>
    </w:p>
    <w:p>
      <w:pPr>
        <w:spacing w:after="200"/>
      </w:pPr>
      <w:r>
        <w:t xml:space="preserve">Un activista que cambia leyes (exterior-colectivo) pero no su propia conciencia (interior-individual) reproduce patrones de dominación. Una comunidad espiritual (interior-colectivo) que ignora las estructuras económicas (exterior-colectivo) se vuelve escapista. Un emprendedor social (exterior-individual) que no trabaja en cultura (interior-colectivo) crea organizaciones que no escalan.</w:t>
      </w:r>
    </w:p>
    <w:p>
      <w:pPr>
        <w:spacing w:after="400"/>
      </w:pPr>
      <w:r>
        <w:t xml:space="preserve">La transformación integral toca los cuatro cuadrantes. Y requiere actores especializados en cada uno que sepan colaborar entre sí.</w:t>
      </w:r>
    </w:p>
    <w:p>
      <w:pPr>
        <w:pStyle w:val="Heading2"/>
      </w:pPr>
      <w:r>
        <w:t xml:space="preserve">Quiénes ya están construyendo</w:t>
      </w:r>
    </w:p>
    <w:p>
      <w:pPr>
        <w:spacing w:after="200"/>
      </w:pPr>
      <w:r>
        <w:t xml:space="preserve">Un mapa (inevitablemente incompleto) de actores del cambio:</w:t>
      </w:r>
    </w:p>
    <w:p>
      <w:pPr>
        <w:spacing w:after="200"/>
      </w:pPr>
      <w:r>
        <w:rPr>
          <w:b/>
          <w:bCs/>
        </w:rPr>
        <w:t xml:space="preserve">Economía alternativa:</w:t>
      </w:r>
    </w:p>
    <w:p>
      <w:pPr>
        <w:spacing w:after="100"/>
        <w:ind w:left="400"/>
      </w:pPr>
      <w:r>
        <w:t xml:space="preserve">— Cooperativas (Mondragón, Emilia-Romagna, cooperativismo de plataforma)</w:t>
      </w:r>
    </w:p>
    <w:p>
      <w:pPr>
        <w:spacing w:after="100"/>
        <w:ind w:left="400"/>
      </w:pPr>
      <w:r>
        <w:t xml:space="preserve">— Economía del bien común (Christian Felber)</w:t>
      </w:r>
    </w:p>
    <w:p>
      <w:pPr>
        <w:spacing w:after="100"/>
        <w:ind w:left="400"/>
      </w:pPr>
      <w:r>
        <w:t xml:space="preserve">— Economía circular (Ellen MacArthur Foundation)</w:t>
      </w:r>
    </w:p>
    <w:p>
      <w:pPr>
        <w:spacing w:after="100"/>
        <w:ind w:left="400"/>
      </w:pPr>
      <w:r>
        <w:t xml:space="preserve">— Monedas locales y complementarias (WIR, Bristol Pound, Sardex)</w:t>
      </w:r>
    </w:p>
    <w:p>
      <w:pPr>
        <w:spacing w:after="200"/>
        <w:ind w:left="400"/>
      </w:pPr>
      <w:r>
        <w:t xml:space="preserve">— Commons digitales (Wikipedia, Linux, Creative Commons)</w:t>
      </w:r>
    </w:p>
    <w:p>
      <w:pPr>
        <w:spacing w:after="200"/>
      </w:pPr>
      <w:r>
        <w:rPr>
          <w:b/>
          <w:bCs/>
        </w:rPr>
        <w:t xml:space="preserve">Gobernanza alternativa:</w:t>
      </w:r>
    </w:p>
    <w:p>
      <w:pPr>
        <w:spacing w:after="100"/>
        <w:ind w:left="400"/>
      </w:pPr>
      <w:r>
        <w:t xml:space="preserve">— Sociocracia y holocracia (organizaciones sin jefes)</w:t>
      </w:r>
    </w:p>
    <w:p>
      <w:pPr>
        <w:spacing w:after="100"/>
        <w:ind w:left="400"/>
      </w:pPr>
      <w:r>
        <w:t xml:space="preserve">— Democracia participativa (Porto Alegre, Decidim)</w:t>
      </w:r>
    </w:p>
    <w:p>
      <w:pPr>
        <w:spacing w:after="100"/>
        <w:ind w:left="400"/>
      </w:pPr>
      <w:r>
        <w:t xml:space="preserve">— Asambleas ciudadanas (Irlanda, Francia, UK)</w:t>
      </w:r>
    </w:p>
    <w:p>
      <w:pPr>
        <w:spacing w:after="200"/>
        <w:ind w:left="400"/>
      </w:pPr>
      <w:r>
        <w:t xml:space="preserve">— Municipalismo (Barcelona en Comú, Fearless Cities)</w:t>
      </w:r>
    </w:p>
    <w:p>
      <w:pPr>
        <w:spacing w:after="200"/>
      </w:pPr>
      <w:r>
        <w:rPr>
          <w:b/>
          <w:bCs/>
        </w:rPr>
        <w:t xml:space="preserve">Comunidades intencionales:</w:t>
      </w:r>
    </w:p>
    <w:p>
      <w:pPr>
        <w:spacing w:after="100"/>
        <w:ind w:left="400"/>
      </w:pPr>
      <w:r>
        <w:t xml:space="preserve">— Ecoaldeas (Global Ecovillage Network)</w:t>
      </w:r>
    </w:p>
    <w:p>
      <w:pPr>
        <w:spacing w:after="100"/>
        <w:ind w:left="400"/>
      </w:pPr>
      <w:r>
        <w:t xml:space="preserve">— Transition Towns (movimiento de transición)</w:t>
      </w:r>
    </w:p>
    <w:p>
      <w:pPr>
        <w:spacing w:after="100"/>
        <w:ind w:left="400"/>
      </w:pPr>
      <w:r>
        <w:t xml:space="preserve">— Cohousing y cooperativas de vivienda</w:t>
      </w:r>
    </w:p>
    <w:p>
      <w:pPr>
        <w:spacing w:after="200"/>
        <w:ind w:left="400"/>
      </w:pPr>
      <w:r>
        <w:t xml:space="preserve">— Comunidades de práctica espiritual</w:t>
      </w:r>
    </w:p>
    <w:p>
      <w:pPr>
        <w:spacing w:after="200"/>
      </w:pPr>
      <w:r>
        <w:rPr>
          <w:b/>
          <w:bCs/>
        </w:rPr>
        <w:t xml:space="preserve">Tecnología ética:</w:t>
      </w:r>
    </w:p>
    <w:p>
      <w:pPr>
        <w:spacing w:after="100"/>
        <w:ind w:left="400"/>
      </w:pPr>
      <w:r>
        <w:t xml:space="preserve">— Software libre y código abierto</w:t>
      </w:r>
    </w:p>
    <w:p>
      <w:pPr>
        <w:spacing w:after="100"/>
        <w:ind w:left="400"/>
      </w:pPr>
      <w:r>
        <w:t xml:space="preserve">— Cooperativismo de plataforma</w:t>
      </w:r>
    </w:p>
    <w:p>
      <w:pPr>
        <w:spacing w:after="100"/>
        <w:ind w:left="400"/>
      </w:pPr>
      <w:r>
        <w:t xml:space="preserve">— Descentralización (blockchain ético, DAOs)</w:t>
      </w:r>
    </w:p>
    <w:p>
      <w:pPr>
        <w:spacing w:after="200"/>
        <w:ind w:left="400"/>
      </w:pPr>
      <w:r>
        <w:t xml:space="preserve">— IA al servicio del bien común</w:t>
      </w:r>
    </w:p>
    <w:p>
      <w:pPr>
        <w:spacing w:after="200"/>
      </w:pPr>
      <w:r>
        <w:rPr>
          <w:b/>
          <w:bCs/>
        </w:rPr>
        <w:t xml:space="preserve">Movimientos sociales:</w:t>
      </w:r>
    </w:p>
    <w:p>
      <w:pPr>
        <w:spacing w:after="100"/>
        <w:ind w:left="400"/>
      </w:pPr>
      <w:r>
        <w:t xml:space="preserve">— Ecologismo (Fridays for Future, Extinction Rebellion)</w:t>
      </w:r>
    </w:p>
    <w:p>
      <w:pPr>
        <w:spacing w:after="100"/>
        <w:ind w:left="400"/>
      </w:pPr>
      <w:r>
        <w:t xml:space="preserve">— Feminismo y cuidados</w:t>
      </w:r>
    </w:p>
    <w:p>
      <w:pPr>
        <w:spacing w:after="100"/>
        <w:ind w:left="400"/>
      </w:pPr>
      <w:r>
        <w:t xml:space="preserve">— Decrecimiento y post-desarrollo</w:t>
      </w:r>
    </w:p>
    <w:p>
      <w:pPr>
        <w:spacing w:after="200"/>
        <w:ind w:left="400"/>
      </w:pPr>
      <w:r>
        <w:t xml:space="preserve">— Movimientos indígenas y defensa del territorio</w:t>
      </w:r>
    </w:p>
    <w:p>
      <w:pPr>
        <w:spacing w:after="200"/>
      </w:pPr>
      <w:r>
        <w:rPr>
          <w:b/>
          <w:bCs/>
        </w:rPr>
        <w:t xml:space="preserve">Desarrollo interior:</w:t>
      </w:r>
    </w:p>
    <w:p>
      <w:pPr>
        <w:spacing w:after="100"/>
        <w:ind w:left="400"/>
      </w:pPr>
      <w:r>
        <w:t xml:space="preserve">— Mindfulness y meditación secular</w:t>
      </w:r>
    </w:p>
    <w:p>
      <w:pPr>
        <w:spacing w:after="100"/>
        <w:ind w:left="400"/>
      </w:pPr>
      <w:r>
        <w:t xml:space="preserve">— Psicología integral y transpersonal</w:t>
      </w:r>
    </w:p>
    <w:p>
      <w:pPr>
        <w:spacing w:after="100"/>
        <w:ind w:left="400"/>
      </w:pPr>
      <w:r>
        <w:t xml:space="preserve">— Trabajo que Reconecta (Joanna Macy)</w:t>
      </w:r>
    </w:p>
    <w:p>
      <w:pPr>
        <w:spacing w:after="400"/>
        <w:ind w:left="400"/>
      </w:pPr>
      <w:r>
        <w:t xml:space="preserve">— Comunicación no violenta (Marshall Rosenberg)</w:t>
      </w:r>
    </w:p>
    <w:p>
      <w:pPr>
        <w:pStyle w:val="Heading2"/>
      </w:pPr>
      <w:r>
        <w:t xml:space="preserve">Lo que falta: la conexión</w:t>
      </w:r>
    </w:p>
    <w:p>
      <w:pPr>
        <w:spacing w:after="200"/>
      </w:pPr>
      <w:r>
        <w:t xml:space="preserve">El ecosistema es rico pero fragmentado. Cada tribu habla su lenguaje, tiene sus prioridades, desconfía de las otras.</w:t>
      </w:r>
    </w:p>
    <w:p>
      <w:pPr>
        <w:spacing w:after="200"/>
      </w:pPr>
      <w:r>
        <w:t xml:space="preserve">Los ecologistas desconfían de los tecnólogos. Los espirituales ignoran la política. Los políticos desprecian lo interior. Los empresarios sociales no hablan con los activistas. Las ecoaldeas no se conectan con el cooperativismo urbano.</w:t>
      </w:r>
    </w:p>
    <w:p>
      <w:pPr>
        <w:spacing w:after="200"/>
      </w:pPr>
      <w:r>
        <w:t xml:space="preserve">Lo que falta no son más iniciativas. Es infraestructura de conexión: plataformas para compartir aprendizajes, espacios de encuentro entre mundos, protocolos de colaboración entre diferentes.</w:t>
      </w:r>
    </w:p>
    <w:p>
      <w:pPr>
        <w:pStyle w:val="Case"/>
      </w:pPr>
      <w:r>
        <w:t xml:space="preserve">Caso: Conciencia en Red propone exactamente esto: infraestructura digital que conecte nodos locales en red global. Plataformas interoperables donde diferentes iniciativas puedan colaborar sin perder autonomía. Un «código genético» común que permita coherencia sin control centralizado.</w:t>
      </w:r>
    </w:p>
    <w:p>
      <w:pPr>
        <w:spacing w:after="400"/>
      </w:pPr>
      <w:r>
        <w:t xml:space="preserve">La próxima frontera no es crear más proyectos aislados. Es tejer la red que los conecte.</w:t>
      </w:r>
    </w:p>
    <w:p>
      <w:r>
        <w:br w:type="page"/>
      </w:r>
    </w:p>
    <w:p>
      <w:pPr>
        <w:spacing w:before="2000"/>
      </w:pPr>
    </w:p>
    <w:p>
      <w:pPr>
        <w:jc w:val="center"/>
      </w:pPr>
      <w:r>
        <w:rPr>
          <w:color w:val="888888"/>
          <w:sz w:val="48"/>
          <w:szCs w:val="48"/>
        </w:rPr>
        <w:t xml:space="preserve">❧</w:t>
      </w:r>
    </w:p>
    <w:p>
      <w:pPr>
        <w:spacing w:before="600"/>
      </w:pPr>
    </w:p>
    <w:p>
      <w:pPr>
        <w:spacing w:after="200"/>
        <w:jc w:val="center"/>
      </w:pPr>
      <w:r>
        <w:rPr>
          <w:rFonts w:ascii="Georgia" w:cs="Georgia" w:eastAsia="Georgia" w:hAnsi="Georgia"/>
          <w:i/>
          <w:iCs/>
          <w:color w:val="555555"/>
          <w:sz w:val="28"/>
          <w:szCs w:val="28"/>
        </w:rPr>
        <w:t xml:space="preserve">Fin de la Parte I</w:t>
      </w:r>
    </w:p>
    <w:p>
      <w:pPr>
        <w:jc w:val="center"/>
      </w:pPr>
      <w:r>
        <w:rPr>
          <w:rFonts w:ascii="Georgia" w:cs="Georgia" w:eastAsia="Georgia" w:hAnsi="Georgia"/>
          <w:i/>
          <w:iCs/>
          <w:color w:val="666666"/>
          <w:sz w:val="24"/>
          <w:szCs w:val="24"/>
        </w:rPr>
        <w:t xml:space="preserve">Hemos mapeado el territorio:</w:t>
      </w:r>
    </w:p>
    <w:p>
      <w:pPr>
        <w:jc w:val="center"/>
      </w:pPr>
      <w:r>
        <w:rPr>
          <w:rFonts w:ascii="Georgia" w:cs="Georgia" w:eastAsia="Georgia" w:hAnsi="Georgia"/>
          <w:i/>
          <w:iCs/>
          <w:color w:val="666666"/>
          <w:sz w:val="24"/>
          <w:szCs w:val="24"/>
        </w:rPr>
        <w:t xml:space="preserve">cómo ocurren las transiciones, dónde intervenir,</w:t>
      </w:r>
    </w:p>
    <w:p>
      <w:pPr>
        <w:jc w:val="center"/>
      </w:pPr>
      <w:r>
        <w:rPr>
          <w:rFonts w:ascii="Georgia" w:cs="Georgia" w:eastAsia="Georgia" w:hAnsi="Georgia"/>
          <w:i/>
          <w:iCs/>
          <w:color w:val="666666"/>
          <w:sz w:val="24"/>
          <w:szCs w:val="24"/>
        </w:rPr>
        <w:t xml:space="preserve">quiénes ya están construyendo alternativas.</w:t>
      </w:r>
    </w:p>
    <w:p>
      <w:pPr>
        <w:spacing w:before="400"/>
      </w:pPr>
    </w:p>
    <w:p>
      <w:pPr>
        <w:jc w:val="center"/>
      </w:pPr>
      <w:r>
        <w:rPr>
          <w:rFonts w:ascii="Georgia" w:cs="Georgia" w:eastAsia="Georgia" w:hAnsi="Georgia"/>
          <w:i/>
          <w:iCs/>
          <w:color w:val="666666"/>
          <w:sz w:val="24"/>
          <w:szCs w:val="24"/>
        </w:rPr>
        <w:t xml:space="preserve">Ahora entramos en el cómo:</w:t>
      </w:r>
    </w:p>
    <w:p>
      <w:pPr>
        <w:spacing w:before="100"/>
        <w:jc w:val="center"/>
      </w:pPr>
      <w:r>
        <w:rPr>
          <w:rFonts w:ascii="Georgia" w:cs="Georgia" w:eastAsia="Georgia" w:hAnsi="Georgia"/>
          <w:i/>
          <w:iCs/>
          <w:color w:val="444444"/>
          <w:sz w:val="24"/>
          <w:szCs w:val="24"/>
        </w:rPr>
        <w:t xml:space="preserve">nuevas formas de organización que ya existen y funcionan.</w:t>
      </w:r>
    </w:p>
    <w:p>
      <w:pPr>
        <w:spacing w:before="600"/>
      </w:pPr>
    </w:p>
    <w:p>
      <w:pPr>
        <w:jc w:val="center"/>
      </w:pPr>
      <w:r>
        <w:rPr>
          <w:rFonts w:ascii="Georgia" w:cs="Georgia" w:eastAsia="Georgia" w:hAnsi="Georgia"/>
          <w:color w:val="888888"/>
          <w:sz w:val="22"/>
          <w:szCs w:val="22"/>
        </w:rPr>
        <w:t xml:space="preserve">Continúa en Parte II:</w:t>
      </w:r>
    </w:p>
    <w:p>
      <w:pPr>
        <w:jc w:val="center"/>
      </w:pPr>
      <w:r>
        <w:rPr>
          <w:rFonts w:ascii="Georgia" w:cs="Georgia" w:eastAsia="Georgia" w:hAnsi="Georgia"/>
          <w:b/>
          <w:bCs/>
          <w:color w:val="333333"/>
          <w:sz w:val="26"/>
          <w:szCs w:val="26"/>
        </w:rPr>
        <w:t xml:space="preserve">NUEVAS FORMAS DE ORGANIZACIÓN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t xml:space="preserve">— </w:t>
    </w:r>
    <w:r>
      <w:rPr>
        <w:color w:val="888888"/>
        <w:sz w:val="20"/>
        <w:szCs w:val="20"/>
      </w:rPr>
      <w:fldChar w:fldCharType="begin"/>
      <w:instrText xml:space="preserve">PAGE</w:instrText>
      <w:fldChar w:fldCharType="separate"/>
      <w:fldChar w:fldCharType="end"/>
    </w:r>
    <w:r>
      <w:rPr>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MANUAL DE TRANSICIÓN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Georgia" w:cs="Georgia" w:eastAsia="Georgia" w:hAnsi="Georgia"/>
      <w:b/>
      <w:bCs/>
      <w:color w:val="1a1a1a"/>
      <w:sz w:val="72"/>
      <w:szCs w:val="72"/>
    </w:rPr>
  </w:style>
  <w:style w:type="paragraph" w:styleId="Heading1">
    <w:name w:val="Heading 1"/>
    <w:basedOn w:val="Normal"/>
    <w:next w:val="Normal"/>
    <w:qFormat/>
    <w:pPr>
      <w:spacing w:before="400" w:after="2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333333"/>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color w:val="444444"/>
      <w:sz w:val="24"/>
      <w:szCs w:val="24"/>
    </w:rPr>
  </w:style>
  <w:style w:type="paragraph" w:styleId="Epigraph">
    <w:name w:val="Epigraph"/>
    <w:basedOn w:val="Normal"/>
    <w:pPr>
      <w:spacing w:before="200" w:after="300"/>
      <w:jc w:val="center"/>
    </w:pPr>
    <w:rPr>
      <w:rFonts w:ascii="Georgia" w:cs="Georgia" w:eastAsia="Georgia" w:hAnsi="Georgia"/>
      <w:i/>
      <w:iCs/>
      <w:color w:val="555555"/>
      <w:sz w:val="22"/>
      <w:szCs w:val="22"/>
    </w:rPr>
  </w:style>
  <w:style w:type="paragraph" w:styleId="Principle">
    <w:name w:val="Principle"/>
    <w:basedOn w:val="Normal"/>
    <w:pPr>
      <w:spacing w:before="200" w:after="100"/>
      <w:ind w:left="400"/>
    </w:pPr>
    <w:rPr>
      <w:rFonts w:ascii="Georgia" w:cs="Georgia" w:eastAsia="Georgia" w:hAnsi="Georgia"/>
      <w:b/>
      <w:bCs/>
      <w:color w:val="2a4a2a"/>
      <w:sz w:val="22"/>
      <w:szCs w:val="22"/>
    </w:rPr>
  </w:style>
  <w:style w:type="paragraph" w:styleId="AntiPattern">
    <w:name w:val="Anti Pattern"/>
    <w:basedOn w:val="Normal"/>
    <w:pPr>
      <w:spacing w:before="100" w:after="100"/>
      <w:ind w:left="600"/>
    </w:pPr>
    <w:rPr>
      <w:rFonts w:ascii="Georgia" w:cs="Georgia" w:eastAsia="Georgia" w:hAnsi="Georgia"/>
      <w:color w:val="8b0000"/>
      <w:sz w:val="21"/>
      <w:szCs w:val="21"/>
    </w:rPr>
  </w:style>
  <w:style w:type="paragraph" w:styleId="Case">
    <w:name w:val="Case Study"/>
    <w:basedOn w:val="Normal"/>
    <w:pPr>
      <w:spacing w:before="200" w:after="200"/>
      <w:ind w:left="400" w:right="400"/>
    </w:pPr>
    <w:rPr>
      <w:rFonts w:ascii="Georgia" w:cs="Georgia" w:eastAsia="Georgia" w:hAnsi="Georgia"/>
      <w:i/>
      <w:iCs/>
      <w:color w:val="2a2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2025-11-28T23:28:24.555Z</dcterms:created>
  <dcterms:modified xsi:type="dcterms:W3CDTF">2025-11-28T23:28:24.556Z</dcterms:modified>
</cp:coreProperties>
</file>

<file path=docProps/custom.xml><?xml version="1.0" encoding="utf-8"?>
<Properties xmlns="http://schemas.openxmlformats.org/officeDocument/2006/custom-properties" xmlns:vt="http://schemas.openxmlformats.org/officeDocument/2006/docPropsVTypes"/>
</file>