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333333"/>
          <w:sz w:val="32"/>
          <w:szCs w:val="32"/>
        </w:rPr>
        <w:t xml:space="preserve">PARTE II</w:t>
      </w:r>
    </w:p>
    <w:p>
      <w:pPr>
        <w:spacing w:before="400"/>
      </w:pPr>
    </w:p>
    <w:p>
      <w:pPr>
        <w:jc w:val="center"/>
      </w:pPr>
      <w:r>
        <w:rPr>
          <w:rFonts w:ascii="Georgia" w:cs="Georgia" w:eastAsia="Georgia" w:hAnsi="Georgia"/>
          <w:b/>
          <w:bCs/>
          <w:sz w:val="40"/>
          <w:szCs w:val="40"/>
        </w:rPr>
        <w:t xml:space="preserve">NUEVAS FORMAS DE ORGANIZACIÓN</w:t>
      </w:r>
    </w:p>
    <w:p>
      <w:pPr>
        <w:spacing w:before="300"/>
      </w:pPr>
    </w:p>
    <w:p>
      <w:pPr>
        <w:jc w:val="center"/>
      </w:pPr>
      <w:r>
        <w:rPr>
          <w:rFonts w:ascii="Georgia" w:cs="Georgia" w:eastAsia="Georgia" w:hAnsi="Georgia"/>
          <w:i/>
          <w:iCs/>
          <w:color w:val="555555"/>
          <w:sz w:val="26"/>
          <w:szCs w:val="26"/>
        </w:rPr>
        <w:t xml:space="preserve">Más allá de la empresa capitalista</w:t>
      </w:r>
    </w:p>
    <w:p>
      <w:r>
        <w:br w:type="page"/>
      </w:r>
    </w:p>
    <w:p>
      <w:pPr>
        <w:pStyle w:val="Heading1"/>
      </w:pPr>
      <w:r>
        <w:t xml:space="preserve">Capítulo 4</w:t>
      </w:r>
    </w:p>
    <w:p>
      <w:pPr>
        <w:pStyle w:val="Heading1"/>
      </w:pPr>
      <w:r>
        <w:t xml:space="preserve">El fin del modelo empresarial como lo conocemos</w:t>
      </w:r>
    </w:p>
    <w:p>
      <w:pPr>
        <w:pStyle w:val="Epigraph"/>
      </w:pPr>
      <w:r>
        <w:t xml:space="preserve">«La empresa moderna es una de las instituciones</w:t>
      </w:r>
    </w:p>
    <w:p>
      <w:pPr>
        <w:pStyle w:val="Epigraph"/>
      </w:pPr>
      <w:r>
        <w:t xml:space="preserve">más poderosas jamás creadas por los humanos.</w:t>
      </w:r>
    </w:p>
    <w:p>
      <w:pPr>
        <w:pStyle w:val="Epigraph"/>
      </w:pPr>
      <w:r>
        <w:t xml:space="preserve">También es de las más disfuncionales.»</w:t>
      </w:r>
    </w:p>
    <w:p>
      <w:pPr>
        <w:spacing w:before="400" w:after="200"/>
      </w:pPr>
      <w:r>
        <w:t xml:space="preserve">La empresa con accionistas que maximizan beneficios es una tecnología social: un invento humano para organizar actividad colectiva. Tiene apenas unos siglos de antigüedad. No es natural ni inevitable. Y está mostrando sus límites.</w:t>
      </w:r>
    </w:p>
    <w:p>
      <w:pPr>
        <w:pStyle w:val="Heading2"/>
      </w:pPr>
      <w:r>
        <w:t xml:space="preserve">La empresa como tecnología social</w:t>
      </w:r>
    </w:p>
    <w:p>
      <w:pPr>
        <w:spacing w:after="200"/>
      </w:pPr>
      <w:r>
        <w:t xml:space="preserve">La empresa moderna nació en el siglo XVII con las compañías comerciales (East India Company, VOC holandesa). Su innovación clave fue la responsabilidad limitada: los inversores solo arriesgan lo que invierten, no su patrimonio personal.</w:t>
      </w:r>
    </w:p>
    <w:p>
      <w:pPr>
        <w:spacing w:after="200"/>
      </w:pPr>
      <w:r>
        <w:t xml:space="preserve">Esta innovación permitió movilizar grandes cantidades de capital para proyectos arriesgados. Financió la revolución industrial, la expansión colonial, la infraestructura moderna. Fue enormemente eficaz para acumular y desplegar recursos.</w:t>
      </w:r>
    </w:p>
    <w:p>
      <w:pPr>
        <w:spacing w:after="200"/>
      </w:pPr>
      <w:r>
        <w:t xml:space="preserve">Pero vino con un diseño particular: los accionistas (quienes aportan capital) tienen el poder de decisión. El objetivo legal de la empresa es maximizar el valor para ellos. Los trabajadores, las comunidades, el medio ambiente son «externalidades» — factores a minimizar, no stakeholders a servir.</w:t>
      </w:r>
    </w:p>
    <w:p>
      <w:pPr>
        <w:spacing w:after="400"/>
      </w:pPr>
      <w:r>
        <w:t xml:space="preserve">Este diseño tiene consecuencias sistémicas: concentración de riqueza, externalización de costos, horizonte cortoplacista, alienación del trabajo. No son «abusos» del modelo; son su funcionamiento normal.</w:t>
      </w:r>
    </w:p>
    <w:p>
      <w:pPr>
        <w:pStyle w:val="Heading2"/>
      </w:pPr>
      <w:r>
        <w:t xml:space="preserve">Por qué el modelo está obsoleto</w:t>
      </w:r>
    </w:p>
    <w:p>
      <w:pPr>
        <w:spacing w:after="200"/>
      </w:pPr>
      <w:r>
        <w:t xml:space="preserve">El modelo de empresa capitalista fue diseñado para un mundo diferente: recursos abundantes, sumideros infinitos para residuos, trabajo manual que requería supervisión, capital escaso que merecía recompensa especial.</w:t>
      </w:r>
    </w:p>
    <w:p>
      <w:pPr>
        <w:spacing w:after="200"/>
      </w:pPr>
      <w:r>
        <w:t xml:space="preserve">Ese mundo ya no existe.</w:t>
      </w:r>
    </w:p>
    <w:p>
      <w:pPr>
        <w:spacing w:after="200"/>
      </w:pPr>
      <w:r>
        <w:rPr>
          <w:b/>
          <w:bCs/>
        </w:rPr>
        <w:t xml:space="preserve">Los límites planetarios son reales:</w:t>
      </w:r>
      <w:r>
        <w:t xml:space="preserve"> una empresa obligada a maximizar beneficios no puede internalizar costos ambientales si sus competidores no lo hacen. La carrera hacia el fondo es inevitable.</w:t>
      </w:r>
    </w:p>
    <w:p>
      <w:pPr>
        <w:spacing w:after="200"/>
      </w:pPr>
      <w:r>
        <w:rPr>
          <w:b/>
          <w:bCs/>
        </w:rPr>
        <w:t xml:space="preserve">El trabajo ha cambiado:</w:t>
      </w:r>
      <w:r>
        <w:t xml:space="preserve"> el conocimiento, la creatividad y la colaboración son más valiosos que la obediencia y el trabajo repetitivo. Pero el modelo de empresa trata a los trabajadores como «recursos humanos» a gestionar, no como personas a empoderar.</w:t>
      </w:r>
    </w:p>
    <w:p>
      <w:pPr>
        <w:spacing w:after="200"/>
      </w:pPr>
      <w:r>
        <w:rPr>
          <w:b/>
          <w:bCs/>
        </w:rPr>
        <w:t xml:space="preserve">El capital ya no es escaso:</w:t>
      </w:r>
      <w:r>
        <w:t xml:space="preserve"> hay más dinero buscando retorno que oportunidades legítimas de inversión. La premisa de que el capital merece control porque es escaso ya no aplica.</w:t>
      </w:r>
    </w:p>
    <w:p>
      <w:pPr>
        <w:spacing w:after="400"/>
      </w:pPr>
      <w:r>
        <w:rPr>
          <w:b/>
          <w:bCs/>
        </w:rPr>
        <w:t xml:space="preserve">La desigualdad es insostenible:</w:t>
      </w:r>
      <w:r>
        <w:t xml:space="preserve"> cuando los CEOs ganan 300 veces lo que sus empleados, cuando el 1% posee más que el 50% inferior, el tejido social se desgarra. La empresa es motor de esta desigualdad.</w:t>
      </w:r>
    </w:p>
    <w:p>
      <w:pPr>
        <w:pStyle w:val="Heading2"/>
      </w:pPr>
      <w:r>
        <w:t xml:space="preserve">Los experimentos que ya existen</w:t>
      </w:r>
    </w:p>
    <w:p>
      <w:pPr>
        <w:spacing w:after="200"/>
      </w:pPr>
      <w:r>
        <w:t xml:space="preserve">La buena noticia: hay alternativas probadas que funcionan.</w:t>
      </w:r>
    </w:p>
    <w:p>
      <w:pPr>
        <w:spacing w:after="200"/>
      </w:pPr>
      <w:r>
        <w:rPr>
          <w:b/>
          <w:bCs/>
        </w:rPr>
        <w:t xml:space="preserve">Cooperativas:</w:t>
      </w:r>
      <w:r>
        <w:t xml:space="preserve"> empresas propiedad de sus trabajadores o usuarios, gobernadas democráticamente (un miembro = un voto). Mondragón en España tiene 80,000 trabajadores-propietarios. El sector cooperativo global emplea a 280 millones de personas.</w:t>
      </w:r>
    </w:p>
    <w:p>
      <w:pPr>
        <w:spacing w:after="200"/>
      </w:pPr>
      <w:r>
        <w:rPr>
          <w:b/>
          <w:bCs/>
        </w:rPr>
        <w:t xml:space="preserve">B-Corps:</w:t>
      </w:r>
      <w:r>
        <w:t xml:space="preserve"> empresas certificadas que incluyen impacto social y ambiental en sus estatutos legales. Ya hay más de 6,000 B-Corps en 80 países.</w:t>
      </w:r>
    </w:p>
    <w:p>
      <w:pPr>
        <w:spacing w:after="200"/>
      </w:pPr>
      <w:r>
        <w:rPr>
          <w:b/>
          <w:bCs/>
        </w:rPr>
        <w:t xml:space="preserve">Empresas de propósito (Purpose Companies):</w:t>
      </w:r>
      <w:r>
        <w:t xml:space="preserve"> empresas donde la propiedad está ligada al propósito, no se puede vender, y los beneficios se reinvierten. Bosch, Zeiss, Patagonia han adoptado variantes de este modelo.</w:t>
      </w:r>
    </w:p>
    <w:p>
      <w:pPr>
        <w:spacing w:after="200"/>
      </w:pPr>
      <w:r>
        <w:rPr>
          <w:b/>
          <w:bCs/>
        </w:rPr>
        <w:t xml:space="preserve">Steward-Ownership:</w:t>
      </w:r>
      <w:r>
        <w:t xml:space="preserve"> modelo donde la empresa se «posee a sí misma» — los gestores tienen control pero no pueden venderla ni extraer valor más allá de salarios razonables. Común en Alemania y Dinamarca.</w:t>
      </w:r>
    </w:p>
    <w:p>
      <w:pPr>
        <w:pStyle w:val="Principle"/>
      </w:pPr>
      <w:r>
        <w:t xml:space="preserve">No falta imaginación. Faltan escala y conexión.</w:t>
      </w:r>
    </w:p>
    <w:p>
      <w:pPr>
        <w:spacing w:after="400"/>
      </w:pPr>
      <w:r>
        <w:t xml:space="preserve">Estos modelos existen, funcionan, en algunos casos prosperan. Pero son minoritarios, aislados, poco conocidos. El siguiente paso es conectarlos, fortalecerlos, hacerlos la norma en vez de la excepción.</w:t>
      </w:r>
    </w:p>
    <w:p>
      <w:r>
        <w:br w:type="page"/>
      </w:r>
    </w:p>
    <w:p>
      <w:pPr>
        <w:pStyle w:val="Heading1"/>
      </w:pPr>
      <w:r>
        <w:t xml:space="preserve">Capítulo 5</w:t>
      </w:r>
    </w:p>
    <w:p>
      <w:pPr>
        <w:pStyle w:val="Heading1"/>
      </w:pPr>
      <w:r>
        <w:t xml:space="preserve">Cooperativismo 2.0</w:t>
      </w:r>
    </w:p>
    <w:p>
      <w:pPr>
        <w:pStyle w:val="Epigraph"/>
      </w:pPr>
      <w:r>
        <w:t xml:space="preserve">«La cooperación es tan natural como la competencia.</w:t>
      </w:r>
    </w:p>
    <w:p>
      <w:pPr>
        <w:pStyle w:val="Epigraph"/>
      </w:pPr>
      <w:r>
        <w:t xml:space="preserve">Y mucho más generativa.»</w:t>
      </w:r>
    </w:p>
    <w:p>
      <w:pPr>
        <w:spacing w:before="400" w:after="200"/>
      </w:pPr>
      <w:r>
        <w:t xml:space="preserve">Las cooperativas son la forma organizativa más antigua y probada de economía democrática. Pero tienen imagen de antiguas, pequeñas, ineficientes. Es hora de actualizarlas.</w:t>
      </w:r>
    </w:p>
    <w:p>
      <w:pPr>
        <w:pStyle w:val="Heading2"/>
      </w:pPr>
      <w:r>
        <w:t xml:space="preserve">Principios cooperativos (actualizados)</w:t>
      </w:r>
    </w:p>
    <w:p>
      <w:pPr>
        <w:spacing w:after="200"/>
      </w:pPr>
      <w:r>
        <w:t xml:space="preserve">La Alianza Cooperativa Internacional define siete principios:</w:t>
      </w:r>
    </w:p>
    <w:p>
      <w:pPr>
        <w:spacing w:after="150"/>
      </w:pPr>
      <w:r>
        <w:rPr>
          <w:b/>
          <w:bCs/>
        </w:rPr>
        <w:t xml:space="preserve">1. Membresía voluntaria y abierta:</w:t>
      </w:r>
      <w:r>
        <w:t xml:space="preserve"> cualquiera puede unirse, nadie está forzado.</w:t>
      </w:r>
    </w:p>
    <w:p>
      <w:pPr>
        <w:spacing w:after="150"/>
      </w:pPr>
      <w:r>
        <w:rPr>
          <w:b/>
          <w:bCs/>
        </w:rPr>
        <w:t xml:space="preserve">2. Control democrático:</w:t>
      </w:r>
      <w:r>
        <w:t xml:space="preserve"> un miembro = un voto, independiente del capital aportado.</w:t>
      </w:r>
    </w:p>
    <w:p>
      <w:pPr>
        <w:spacing w:after="150"/>
      </w:pPr>
      <w:r>
        <w:rPr>
          <w:b/>
          <w:bCs/>
        </w:rPr>
        <w:t xml:space="preserve">3. Participación económica:</w:t>
      </w:r>
      <w:r>
        <w:t xml:space="preserve"> los miembros contribuyen equitativamente al capital y comparten beneficios.</w:t>
      </w:r>
    </w:p>
    <w:p>
      <w:pPr>
        <w:spacing w:after="150"/>
      </w:pPr>
      <w:r>
        <w:rPr>
          <w:b/>
          <w:bCs/>
        </w:rPr>
        <w:t xml:space="preserve">4. Autonomía e independencia:</w:t>
      </w:r>
      <w:r>
        <w:t xml:space="preserve"> la cooperativa se gobierna a sí misma.</w:t>
      </w:r>
    </w:p>
    <w:p>
      <w:pPr>
        <w:spacing w:after="150"/>
      </w:pPr>
      <w:r>
        <w:rPr>
          <w:b/>
          <w:bCs/>
        </w:rPr>
        <w:t xml:space="preserve">5. Educación y formación:</w:t>
      </w:r>
      <w:r>
        <w:t xml:space="preserve"> invertir en capacitar a miembros y público.</w:t>
      </w:r>
    </w:p>
    <w:p>
      <w:pPr>
        <w:spacing w:after="150"/>
      </w:pPr>
      <w:r>
        <w:rPr>
          <w:b/>
          <w:bCs/>
        </w:rPr>
        <w:t xml:space="preserve">6. Cooperación entre cooperativas:</w:t>
      </w:r>
      <w:r>
        <w:t xml:space="preserve"> fortalecer el movimiento trabajando juntas.</w:t>
      </w:r>
    </w:p>
    <w:p>
      <w:pPr>
        <w:spacing w:after="400"/>
      </w:pPr>
      <w:r>
        <w:rPr>
          <w:b/>
          <w:bCs/>
        </w:rPr>
        <w:t xml:space="preserve">7. Interés por la comunidad:</w:t>
      </w:r>
      <w:r>
        <w:t xml:space="preserve"> contribuir al desarrollo sostenible del entorno.</w:t>
      </w:r>
    </w:p>
    <w:p>
      <w:pPr>
        <w:pStyle w:val="Heading2"/>
      </w:pPr>
      <w:r>
        <w:t xml:space="preserve">Casos de éxito a escala</w:t>
      </w:r>
    </w:p>
    <w:p>
      <w:pPr>
        <w:spacing w:after="200"/>
      </w:pPr>
      <w:r>
        <w:rPr>
          <w:b/>
          <w:bCs/>
        </w:rPr>
        <w:t xml:space="preserve">Mondragón (País Vasco):</w:t>
      </w:r>
    </w:p>
    <w:p>
      <w:pPr>
        <w:spacing w:after="200"/>
      </w:pPr>
      <w:r>
        <w:t xml:space="preserve">La mayor corporación cooperativa del mundo. 80,000 trabajadores-propietarios. Facturación de 12,000 millones de euros. Industria, retail, finanzas, educación, I+D. Demuestra que el cooperativismo puede operar a gran escala y en sectores avanzados.</w:t>
      </w:r>
    </w:p>
    <w:p>
      <w:pPr>
        <w:spacing w:after="200"/>
      </w:pPr>
      <w:r>
        <w:rPr>
          <w:b/>
          <w:bCs/>
        </w:rPr>
        <w:t xml:space="preserve">Emilia-Romagna (Italia):</w:t>
      </w:r>
    </w:p>
    <w:p>
      <w:pPr>
        <w:spacing w:after="200"/>
      </w:pPr>
      <w:r>
        <w:t xml:space="preserve">Región donde el 30% del PIB viene de cooperativas. Redes de cooperativas que colaboran en vez de competir. Una de las zonas más prósperas de Europa con alta cohesión social.</w:t>
      </w:r>
    </w:p>
    <w:p>
      <w:pPr>
        <w:spacing w:after="200"/>
      </w:pPr>
      <w:r>
        <w:rPr>
          <w:b/>
          <w:bCs/>
        </w:rPr>
        <w:t xml:space="preserve">Kerala (India):</w:t>
      </w:r>
    </w:p>
    <w:p>
      <w:pPr>
        <w:spacing w:after="200"/>
      </w:pPr>
      <w:r>
        <w:t xml:space="preserve">Estado indio con modelo de desarrollo alternativo. Cooperativas agrícolas, de crédito, de trabajadores. Indicadores sociales comparables a países ricos con una fracción del PIB per cápita.</w:t>
      </w:r>
    </w:p>
    <w:p>
      <w:pPr>
        <w:pStyle w:val="Principle"/>
      </w:pPr>
      <w:r>
        <w:t xml:space="preserve">Lección: El cooperativismo funciona mejor en ecosistemas — redes de cooperativas que se apoyan mutuamente.</w:t>
      </w:r>
    </w:p>
    <w:p>
      <w:pPr>
        <w:pStyle w:val="Heading2"/>
      </w:pPr>
      <w:r>
        <w:t xml:space="preserve">Cooperativismo de plataforma</w:t>
      </w:r>
    </w:p>
    <w:p>
      <w:pPr>
        <w:spacing w:after="200"/>
      </w:pPr>
      <w:r>
        <w:t xml:space="preserve">La economía digital está dominada por plataformas extractivas: Uber, Airbnb, Amazon, que capturan valor del trabajo de otros. Pero hay alternativas:</w:t>
      </w:r>
    </w:p>
    <w:p>
      <w:pPr>
        <w:spacing w:after="200"/>
      </w:pPr>
      <w:r>
        <w:rPr>
          <w:b/>
          <w:bCs/>
        </w:rPr>
        <w:t xml:space="preserve">Stocksy:</w:t>
      </w:r>
      <w:r>
        <w:t xml:space="preserve"> plataforma de fotografía propiedad de los fotógrafos. Pagan royalties del 50-75%, versus 15-45% de Getty/Shutterstock.</w:t>
      </w:r>
    </w:p>
    <w:p>
      <w:pPr>
        <w:spacing w:after="200"/>
      </w:pPr>
      <w:r>
        <w:rPr>
          <w:b/>
          <w:bCs/>
        </w:rPr>
        <w:t xml:space="preserve">Up &amp; Go:</w:t>
      </w:r>
      <w:r>
        <w:t xml:space="preserve"> plataforma de limpieza doméstica propiedad de las limpiadoras. Operan en Nueva York.</w:t>
      </w:r>
    </w:p>
    <w:p>
      <w:pPr>
        <w:spacing w:after="200"/>
      </w:pPr>
      <w:r>
        <w:rPr>
          <w:b/>
          <w:bCs/>
        </w:rPr>
        <w:t xml:space="preserve">Resonate:</w:t>
      </w:r>
      <w:r>
        <w:t xml:space="preserve"> streaming musical cooperativo. Los artistas y oyentes son copropietarios.</w:t>
      </w:r>
    </w:p>
    <w:p>
      <w:pPr>
        <w:spacing w:after="200"/>
      </w:pPr>
      <w:r>
        <w:rPr>
          <w:b/>
          <w:bCs/>
        </w:rPr>
        <w:t xml:space="preserve">Fairmondo:</w:t>
      </w:r>
      <w:r>
        <w:t xml:space="preserve"> marketplace cooperativo alternativa a Amazon, nacido en Alemania.</w:t>
      </w:r>
    </w:p>
    <w:p>
      <w:pPr>
        <w:pStyle w:val="Case"/>
      </w:pPr>
      <w:r>
        <w:t xml:space="preserve">El Código Genético de Conciencia en Red especifica: «Cooperación sobre competencia. El sistema recompensa colaborar, no competir. Ganar a costa del otro es perder todos.» Y define anti-patrones específicos: ranking competitivo sin componente cooperativo, winner-takes-all, zero-sum games.</w:t>
      </w:r>
    </w:p>
    <w:p>
      <w:pPr>
        <w:spacing w:after="400"/>
      </w:pPr>
      <w:r>
        <w:t xml:space="preserve">El cooperativismo de plataforma demuestra que la tecnología digital puede diseñarse para la cooperación, no solo para la extracción.</w:t>
      </w:r>
    </w:p>
    <w:p>
      <w:pPr>
        <w:pStyle w:val="Heading2"/>
      </w:pPr>
      <w:r>
        <w:t xml:space="preserve">Federaciones: cómo escalar sin perder esencia</w:t>
      </w:r>
    </w:p>
    <w:p>
      <w:pPr>
        <w:spacing w:after="200"/>
      </w:pPr>
      <w:r>
        <w:t xml:space="preserve">El problema clásico: las cooperativas pequeñas son democráticas pero débiles; las grandes ganan poder pero pierden participación. ¿Solución? Federación.</w:t>
      </w:r>
    </w:p>
    <w:p>
      <w:pPr>
        <w:spacing w:after="200"/>
      </w:pPr>
      <w:r>
        <w:t xml:space="preserve">Una federación de cooperativas mantiene cada unidad pequeña y autogobernada, mientras crea estructuras de segundo nivel para compartir recursos, coordinar estrategia, ganar escala.</w:t>
      </w:r>
    </w:p>
    <w:p>
      <w:pPr>
        <w:spacing w:after="200"/>
      </w:pPr>
      <w:r>
        <w:t xml:space="preserve">Mondragón funciona así: cooperativas individuales autónomas + estructuras sectoriales + corporación paraguas. Cada nivel tiene su gobernanza democrática.</w:t>
      </w:r>
    </w:p>
    <w:p>
      <w:pPr>
        <w:pStyle w:val="CodeGenetic"/>
      </w:pPr>
      <w:r>
        <w:t xml:space="preserve">Del Código Genético — Principio de Expansión Espiral: «Todo empieza pequeño y local, expande en espirales concéntricas, y cada nivel fortalece al anterior. Individuo → Familia/Amigos → Calle/Barrio → Ciudad → Región → País → Mundo. El éxito se mide por profundidad de raíces, no por tamaño de copa.»</w:t>
      </w:r>
    </w:p>
    <w:p>
      <w:pPr>
        <w:spacing w:after="400"/>
      </w:pPr>
      <w:r>
        <w:t xml:space="preserve">Este patrón — autonomía local + coordinación federal — aparece una y otra vez en las organizaciones que logran escalar sin perder alma.</w:t>
      </w:r>
    </w:p>
    <w:p>
      <w:r>
        <w:br w:type="page"/>
      </w:r>
    </w:p>
    <w:p>
      <w:pPr>
        <w:pStyle w:val="Heading1"/>
      </w:pPr>
      <w:r>
        <w:t xml:space="preserve">Capítulo 6</w:t>
      </w:r>
    </w:p>
    <w:p>
      <w:pPr>
        <w:pStyle w:val="Heading1"/>
      </w:pPr>
      <w:r>
        <w:t xml:space="preserve">Organizaciones sin jefes</w:t>
      </w:r>
    </w:p>
    <w:p>
      <w:pPr>
        <w:pStyle w:val="Epigraph"/>
      </w:pPr>
      <w:r>
        <w:t xml:space="preserve">«La jerarquía no es el problema.</w:t>
      </w:r>
    </w:p>
    <w:p>
      <w:pPr>
        <w:pStyle w:val="Epigraph"/>
      </w:pPr>
      <w:r>
        <w:t xml:space="preserve">El problema es jerarquía fija, no ganada, no revocable.»</w:t>
      </w:r>
    </w:p>
    <w:p>
      <w:pPr>
        <w:spacing w:before="400" w:after="200"/>
      </w:pPr>
      <w:r>
        <w:t xml:space="preserve">¿Puede una organización compleja funcionar sin jefes? Miles de empresas lo están demostrando. No es anarquía — es gobernanza distribuida.</w:t>
      </w:r>
    </w:p>
    <w:p>
      <w:pPr>
        <w:pStyle w:val="Heading2"/>
      </w:pPr>
      <w:r>
        <w:t xml:space="preserve">Holocracia y sociocracia</w:t>
      </w:r>
    </w:p>
    <w:p>
      <w:pPr>
        <w:spacing w:after="200"/>
      </w:pPr>
      <w:r>
        <w:rPr>
          <w:b/>
          <w:bCs/>
        </w:rPr>
        <w:t xml:space="preserve">Sociocracia:</w:t>
      </w:r>
      <w:r>
        <w:t xml:space="preserve"> sistema de gobernanza desarrollado en Holanda desde los años 70. Principios clave:</w:t>
      </w:r>
    </w:p>
    <w:p>
      <w:pPr>
        <w:spacing w:after="100"/>
        <w:ind w:left="400"/>
      </w:pPr>
      <w:r>
        <w:t xml:space="preserve">— Decisiones por consentimiento (no consenso): se avanza si no hay objeciones razonadas</w:t>
      </w:r>
    </w:p>
    <w:p>
      <w:pPr>
        <w:spacing w:after="100"/>
        <w:ind w:left="400"/>
      </w:pPr>
      <w:r>
        <w:t xml:space="preserve">— Organización en círculos con autonomía en su dominio</w:t>
      </w:r>
    </w:p>
    <w:p>
      <w:pPr>
        <w:spacing w:after="100"/>
        <w:ind w:left="400"/>
      </w:pPr>
      <w:r>
        <w:t xml:space="preserve">— Doble enlace: cada círculo tiene representantes hacia arriba y hacia abajo</w:t>
      </w:r>
    </w:p>
    <w:p>
      <w:pPr>
        <w:spacing w:after="200"/>
        <w:ind w:left="400"/>
      </w:pPr>
      <w:r>
        <w:t xml:space="preserve">— Elecciones sin candidatos: se elige después de escuchar argumentos</w:t>
      </w:r>
    </w:p>
    <w:p>
      <w:pPr>
        <w:spacing w:after="200"/>
      </w:pPr>
      <w:r>
        <w:rPr>
          <w:b/>
          <w:bCs/>
        </w:rPr>
        <w:t xml:space="preserve">Holocracia:</w:t>
      </w:r>
      <w:r>
        <w:t xml:space="preserve"> versión más formalizada, creada por Brian Robertson. Añade:</w:t>
      </w:r>
    </w:p>
    <w:p>
      <w:pPr>
        <w:spacing w:after="100"/>
        <w:ind w:left="400"/>
      </w:pPr>
      <w:r>
        <w:t xml:space="preserve">— Constitución escrita que define las reglas del juego</w:t>
      </w:r>
    </w:p>
    <w:p>
      <w:pPr>
        <w:spacing w:after="100"/>
        <w:ind w:left="400"/>
      </w:pPr>
      <w:r>
        <w:t xml:space="preserve">— Roles claramente definidos (una persona puede tener varios roles)</w:t>
      </w:r>
    </w:p>
    <w:p>
      <w:pPr>
        <w:spacing w:after="100"/>
        <w:ind w:left="400"/>
      </w:pPr>
      <w:r>
        <w:t xml:space="preserve">— Reuniones muy estructuradas: tácticas (operaciones) vs gobernanza (estructura)</w:t>
      </w:r>
    </w:p>
    <w:p>
      <w:pPr>
        <w:spacing w:after="400"/>
        <w:ind w:left="400"/>
      </w:pPr>
      <w:r>
        <w:t xml:space="preserve">— Tensiones como motor: cualquier gap entre lo que es y lo que podría ser</w:t>
      </w:r>
    </w:p>
    <w:p>
      <w:pPr>
        <w:pStyle w:val="Heading2"/>
      </w:pPr>
      <w:r>
        <w:t xml:space="preserve">Casos reales</w:t>
      </w:r>
    </w:p>
    <w:p>
      <w:pPr>
        <w:spacing w:after="200"/>
      </w:pPr>
      <w:r>
        <w:rPr>
          <w:b/>
          <w:bCs/>
        </w:rPr>
        <w:t xml:space="preserve">Buurtzorg (Holanda):</w:t>
      </w:r>
      <w:r>
        <w:t xml:space="preserve"> enfermería domiciliaria. 15,000 enfermeras en equipos autogestionados de 10-12 personas. Sin gerentes intermedios. Solo 50 personas en oficina central para 15,000 en campo. Mejor satisfacción de pacientes y empleados, menores costos que competidores jerárquicos.</w:t>
      </w:r>
    </w:p>
    <w:p>
      <w:pPr>
        <w:spacing w:after="200"/>
      </w:pPr>
      <w:r>
        <w:rPr>
          <w:b/>
          <w:bCs/>
        </w:rPr>
        <w:t xml:space="preserve">Morning Star (EEUU):</w:t>
      </w:r>
      <w:r>
        <w:t xml:space="preserve"> procesadora de tomates, líder mundial. Sin títulos, sin jefes, sin departamentos de RRHH. 400 empleados negocian entre sí compromisos anuales. Productividad doble que la media del sector.</w:t>
      </w:r>
    </w:p>
    <w:p>
      <w:pPr>
        <w:spacing w:after="200"/>
      </w:pPr>
      <w:r>
        <w:rPr>
          <w:b/>
          <w:bCs/>
        </w:rPr>
        <w:t xml:space="preserve">Haier (China):</w:t>
      </w:r>
      <w:r>
        <w:t xml:space="preserve"> electrodomésticos, 80,000 empleados. Reorganizada en 4,000 «micro-empresas» autónomas de 10-15 personas que compiten y cooperan internamente. Pasó de empresa estatal moribunda a líder global.</w:t>
      </w:r>
    </w:p>
    <w:p>
      <w:pPr>
        <w:pStyle w:val="Principle"/>
      </w:pPr>
      <w:r>
        <w:t xml:space="preserve">Lo que funciona: estructuras pequeñas autónomas + conexión clara con el todo + reglas del juego transparentes.</w:t>
      </w:r>
    </w:p>
    <w:p>
      <w:pPr>
        <w:pStyle w:val="Heading2"/>
      </w:pPr>
      <w:r>
        <w:t xml:space="preserve">Lo que funciona y lo que no</w:t>
      </w:r>
    </w:p>
    <w:p>
      <w:pPr>
        <w:spacing w:after="200"/>
      </w:pPr>
      <w:r>
        <w:rPr>
          <w:b/>
          <w:bCs/>
        </w:rPr>
        <w:t xml:space="preserve">Funciona:</w:t>
      </w:r>
    </w:p>
    <w:p>
      <w:pPr>
        <w:spacing w:after="100"/>
        <w:ind w:left="400"/>
      </w:pPr>
      <w:r>
        <w:t xml:space="preserve">✓ Equipos pequeños con autonomía real en su dominio</w:t>
      </w:r>
    </w:p>
    <w:p>
      <w:pPr>
        <w:spacing w:after="100"/>
        <w:ind w:left="400"/>
      </w:pPr>
      <w:r>
        <w:t xml:space="preserve">✓ Transparencia radical: todo visible para todos</w:t>
      </w:r>
    </w:p>
    <w:p>
      <w:pPr>
        <w:spacing w:after="100"/>
        <w:ind w:left="400"/>
      </w:pPr>
      <w:r>
        <w:t xml:space="preserve">✓ Roles claros (aunque flexibles) en vez de títulos fijos</w:t>
      </w:r>
    </w:p>
    <w:p>
      <w:pPr>
        <w:spacing w:after="100"/>
        <w:ind w:left="400"/>
      </w:pPr>
      <w:r>
        <w:t xml:space="preserve">✓ Procesos claros para tomar decisiones y resolver conflictos</w:t>
      </w:r>
    </w:p>
    <w:p>
      <w:pPr>
        <w:spacing w:after="200"/>
        <w:ind w:left="400"/>
      </w:pPr>
      <w:r>
        <w:t xml:space="preserve">✓ Cultura de feedback continuo</w:t>
      </w:r>
    </w:p>
    <w:p>
      <w:pPr>
        <w:spacing w:after="200"/>
      </w:pPr>
      <w:r>
        <w:rPr>
          <w:b/>
          <w:bCs/>
        </w:rPr>
        <w:t xml:space="preserve">No funciona:</w:t>
      </w:r>
    </w:p>
    <w:p>
      <w:pPr>
        <w:pStyle w:val="AntiPattern"/>
      </w:pPr>
      <w:r>
        <w:t xml:space="preserve">❌ Quitar jefes sin poner estructuras alternativas (caos)</w:t>
      </w:r>
    </w:p>
    <w:p>
      <w:pPr>
        <w:pStyle w:val="AntiPattern"/>
      </w:pPr>
      <w:r>
        <w:t xml:space="preserve">❌ Implementar holocracia de golpe sin transición (choque cultural)</w:t>
      </w:r>
    </w:p>
    <w:p>
      <w:pPr>
        <w:pStyle w:val="AntiPattern"/>
      </w:pPr>
      <w:r>
        <w:t xml:space="preserve">❌ Aplicar mismo modelo a cualquier contexto (no hay talla única)</w:t>
      </w:r>
    </w:p>
    <w:p>
      <w:pPr>
        <w:pStyle w:val="AntiPattern"/>
      </w:pPr>
      <w:r>
        <w:t xml:space="preserve">❌ Ignorar dinámicas de poder informal (el poder no desaparece, se oculta)</w:t>
      </w:r>
    </w:p>
    <w:p>
      <w:pPr>
        <w:pStyle w:val="CodeGenetic"/>
      </w:pPr>
      <w:r>
        <w:t xml:space="preserve">Del Código Genético — Gobernanza Distribuida: «Cada nodo/célula tiene autonomía local pero participa en decisiones globales. Subsidiariedad: decidir al nivel más bajo posible. Delegación líquida: puedes delegar tu voto pero recuperarlo. Rotación: nadie lidera permanentemente.»</w:t>
      </w:r>
    </w:p>
    <w:p>
      <w:r>
        <w:br w:type="page"/>
      </w:r>
    </w:p>
    <w:p>
      <w:pPr>
        <w:pStyle w:val="Heading1"/>
      </w:pPr>
      <w:r>
        <w:t xml:space="preserve">Capítulo 7</w:t>
      </w:r>
    </w:p>
    <w:p>
      <w:pPr>
        <w:pStyle w:val="Heading1"/>
      </w:pPr>
      <w:r>
        <w:t xml:space="preserve">Commons y procomún</w:t>
      </w:r>
    </w:p>
    <w:p>
      <w:pPr>
        <w:pStyle w:val="Epigraph"/>
      </w:pPr>
      <w:r>
        <w:t xml:space="preserve">«Los commons no son una tragedia.</w:t>
      </w:r>
    </w:p>
    <w:p>
      <w:pPr>
        <w:pStyle w:val="Epigraph"/>
      </w:pPr>
      <w:r>
        <w:t xml:space="preserve">La tragedia es no saber gestionarlos.»</w:t>
      </w:r>
    </w:p>
    <w:p>
      <w:pPr>
        <w:spacing w:before="400" w:after="200"/>
      </w:pPr>
      <w:r>
        <w:t xml:space="preserve">Garrett Hardin proclamó en 1968 «la tragedia de los comunes»: los recursos compartidos se sobreexplotan inevitablemente. Elinor Ostrom demostró que estaba equivocado — y ganó el Nobel por ello.</w:t>
      </w:r>
    </w:p>
    <w:p>
      <w:pPr>
        <w:pStyle w:val="Heading2"/>
      </w:pPr>
      <w:r>
        <w:t xml:space="preserve">Ostrom y los principios de diseño</w:t>
      </w:r>
    </w:p>
    <w:p>
      <w:pPr>
        <w:spacing w:after="200"/>
      </w:pPr>
      <w:r>
        <w:t xml:space="preserve">Elinor Ostrom estudió comunidades reales que gestionan recursos compartidos exitosamente durante siglos: pesquerías, sistemas de riego, bosques comunales, pastizales. Encontró patrones:</w:t>
      </w:r>
    </w:p>
    <w:p>
      <w:pPr>
        <w:spacing w:after="150"/>
      </w:pPr>
      <w:r>
        <w:rPr>
          <w:b/>
          <w:bCs/>
        </w:rPr>
        <w:t xml:space="preserve">1. Límites claramente definidos:</w:t>
      </w:r>
      <w:r>
        <w:t xml:space="preserve"> quién tiene derecho a usar el recurso y quién no.</w:t>
      </w:r>
    </w:p>
    <w:p>
      <w:pPr>
        <w:spacing w:after="150"/>
      </w:pPr>
      <w:r>
        <w:rPr>
          <w:b/>
          <w:bCs/>
        </w:rPr>
        <w:t xml:space="preserve">2. Reglas adaptadas al contexto local:</w:t>
      </w:r>
      <w:r>
        <w:t xml:space="preserve"> no hay solución universal; cada commons diseña sus reglas.</w:t>
      </w:r>
    </w:p>
    <w:p>
      <w:pPr>
        <w:spacing w:after="150"/>
      </w:pPr>
      <w:r>
        <w:rPr>
          <w:b/>
          <w:bCs/>
        </w:rPr>
        <w:t xml:space="preserve">3. Participación en las decisiones:</w:t>
      </w:r>
      <w:r>
        <w:t xml:space="preserve"> quienes usan el recurso participan en definir las reglas.</w:t>
      </w:r>
    </w:p>
    <w:p>
      <w:pPr>
        <w:spacing w:after="150"/>
      </w:pPr>
      <w:r>
        <w:rPr>
          <w:b/>
          <w:bCs/>
        </w:rPr>
        <w:t xml:space="preserve">4. Monitoreo efectivo:</w:t>
      </w:r>
      <w:r>
        <w:t xml:space="preserve"> vigilancia del cumplimiento, idealmente por los propios usuarios.</w:t>
      </w:r>
    </w:p>
    <w:p>
      <w:pPr>
        <w:spacing w:after="150"/>
      </w:pPr>
      <w:r>
        <w:rPr>
          <w:b/>
          <w:bCs/>
        </w:rPr>
        <w:t xml:space="preserve">5. Sanciones graduales:</w:t>
      </w:r>
      <w:r>
        <w:t xml:space="preserve"> consecuencias proporcionales a las violaciones.</w:t>
      </w:r>
    </w:p>
    <w:p>
      <w:pPr>
        <w:spacing w:after="150"/>
      </w:pPr>
      <w:r>
        <w:rPr>
          <w:b/>
          <w:bCs/>
        </w:rPr>
        <w:t xml:space="preserve">6. Mecanismos de resolución de conflictos:</w:t>
      </w:r>
      <w:r>
        <w:t xml:space="preserve"> formas accesibles y baratas de resolver disputas.</w:t>
      </w:r>
    </w:p>
    <w:p>
      <w:pPr>
        <w:spacing w:after="150"/>
      </w:pPr>
      <w:r>
        <w:rPr>
          <w:b/>
          <w:bCs/>
        </w:rPr>
        <w:t xml:space="preserve">7. Reconocimiento del derecho a organizarse:</w:t>
      </w:r>
      <w:r>
        <w:t xml:space="preserve"> autoridades externas no interfieren.</w:t>
      </w:r>
    </w:p>
    <w:p>
      <w:pPr>
        <w:spacing w:after="400"/>
      </w:pPr>
      <w:r>
        <w:rPr>
          <w:b/>
          <w:bCs/>
        </w:rPr>
        <w:t xml:space="preserve">8. Anidamiento:</w:t>
      </w:r>
      <w:r>
        <w:t xml:space="preserve"> para commons grandes, organización en niveles (local → regional → global).</w:t>
      </w:r>
    </w:p>
    <w:p>
      <w:pPr>
        <w:pStyle w:val="Heading2"/>
      </w:pPr>
      <w:r>
        <w:t xml:space="preserve">Commons digitales</w:t>
      </w:r>
    </w:p>
    <w:p>
      <w:pPr>
        <w:spacing w:after="200"/>
      </w:pPr>
      <w:r>
        <w:t xml:space="preserve">La era digital ha demostrado que los commons pueden funcionar a escala masiva:</w:t>
      </w:r>
    </w:p>
    <w:p>
      <w:pPr>
        <w:spacing w:after="200"/>
      </w:pPr>
      <w:r>
        <w:rPr>
          <w:b/>
          <w:bCs/>
        </w:rPr>
        <w:t xml:space="preserve">Wikipedia:</w:t>
      </w:r>
      <w:r>
        <w:t xml:space="preserve"> la mayor enciclopedia de la historia, creada por voluntarios, sin pagar a nadie, disponible gratis. 60 millones de artículos en 300 idiomas.</w:t>
      </w:r>
    </w:p>
    <w:p>
      <w:pPr>
        <w:spacing w:after="200"/>
      </w:pPr>
      <w:r>
        <w:rPr>
          <w:b/>
          <w:bCs/>
        </w:rPr>
        <w:t xml:space="preserve">Linux:</w:t>
      </w:r>
      <w:r>
        <w:t xml:space="preserve"> sistema operativo que corre en la mayoría de servidores del mundo, desarrollado colaborativamente por miles de programadores.</w:t>
      </w:r>
    </w:p>
    <w:p>
      <w:pPr>
        <w:spacing w:after="200"/>
      </w:pPr>
      <w:r>
        <w:rPr>
          <w:b/>
          <w:bCs/>
        </w:rPr>
        <w:t xml:space="preserve">Creative Commons:</w:t>
      </w:r>
      <w:r>
        <w:t xml:space="preserve"> infraestructura legal para compartir obras. Más de 2,000 millones de obras bajo licencias CC.</w:t>
      </w:r>
    </w:p>
    <w:p>
      <w:pPr>
        <w:spacing w:after="200"/>
      </w:pPr>
      <w:r>
        <w:rPr>
          <w:b/>
          <w:bCs/>
        </w:rPr>
        <w:t xml:space="preserve">OpenStreetMap:</w:t>
      </w:r>
      <w:r>
        <w:t xml:space="preserve"> mapas del mundo creados colaborativamente. En muchas zonas más detallados que Google Maps.</w:t>
      </w:r>
    </w:p>
    <w:p>
      <w:pPr>
        <w:pStyle w:val="Principle"/>
      </w:pPr>
      <w:r>
        <w:t xml:space="preserve">Los commons digitales demuestran que la abundancia es posible cuando el recurso es información y las reglas están bien diseñadas.</w:t>
      </w:r>
    </w:p>
    <w:p>
      <w:pPr>
        <w:pStyle w:val="Heading2"/>
      </w:pPr>
      <w:r>
        <w:t xml:space="preserve">¿Qué más podría ser commons?</w:t>
      </w:r>
    </w:p>
    <w:p>
      <w:pPr>
        <w:spacing w:after="200"/>
      </w:pPr>
      <w:r>
        <w:t xml:space="preserve">Si los commons funcionan, ¿qué más podría gestionarse así?</w:t>
      </w:r>
    </w:p>
    <w:p>
      <w:pPr>
        <w:spacing w:after="150"/>
        <w:ind w:left="400"/>
      </w:pPr>
      <w:r>
        <w:rPr>
          <w:b/>
          <w:bCs/>
        </w:rPr>
        <w:t xml:space="preserve">Conocimiento:</w:t>
      </w:r>
      <w:r>
        <w:t xml:space="preserve"> abolir patentes de medicamentos esenciales, ciencia abierta, educación libre.</w:t>
      </w:r>
    </w:p>
    <w:p>
      <w:pPr>
        <w:spacing w:after="150"/>
        <w:ind w:left="400"/>
      </w:pPr>
      <w:r>
        <w:rPr>
          <w:b/>
          <w:bCs/>
        </w:rPr>
        <w:t xml:space="preserve">Datos:</w:t>
      </w:r>
      <w:r>
        <w:t xml:space="preserve"> los datos que generamos colectivamente como bien común, no propiedad corporativa.</w:t>
      </w:r>
    </w:p>
    <w:p>
      <w:pPr>
        <w:spacing w:after="150"/>
        <w:ind w:left="400"/>
      </w:pPr>
      <w:r>
        <w:rPr>
          <w:b/>
          <w:bCs/>
        </w:rPr>
        <w:t xml:space="preserve">Espectro electromagnético:</w:t>
      </w:r>
      <w:r>
        <w:t xml:space="preserve"> frecuencias de radio como recurso común gestionado democráticamente.</w:t>
      </w:r>
    </w:p>
    <w:p>
      <w:pPr>
        <w:spacing w:after="150"/>
        <w:ind w:left="400"/>
      </w:pPr>
      <w:r>
        <w:rPr>
          <w:b/>
          <w:bCs/>
        </w:rPr>
        <w:t xml:space="preserve">Suelo urbano:</w:t>
      </w:r>
      <w:r>
        <w:t xml:space="preserve"> community land trusts que sacan la tierra del mercado especulativo.</w:t>
      </w:r>
    </w:p>
    <w:p>
      <w:pPr>
        <w:spacing w:after="150"/>
        <w:ind w:left="400"/>
      </w:pPr>
      <w:r>
        <w:rPr>
          <w:b/>
          <w:bCs/>
        </w:rPr>
        <w:t xml:space="preserve">Agua y aire:</w:t>
      </w:r>
      <w:r>
        <w:t xml:space="preserve"> obviamente deberían ser commons, pero están siendo privatizados.</w:t>
      </w:r>
    </w:p>
    <w:p>
      <w:pPr>
        <w:spacing w:after="400"/>
        <w:ind w:left="400"/>
      </w:pPr>
      <w:r>
        <w:rPr>
          <w:b/>
          <w:bCs/>
        </w:rPr>
        <w:t xml:space="preserve">Algoritmos e IA:</w:t>
      </w:r>
      <w:r>
        <w:t xml:space="preserve"> los sistemas que gobiernan nuestras vidas como bien común auditable.</w:t>
      </w:r>
    </w:p>
    <w:p>
      <w:pPr>
        <w:pStyle w:val="Case"/>
      </w:pPr>
      <w:r>
        <w:t xml:space="preserve">El ecosistema Conciencia en Red se estructura como commons: código abierto, datos compartidos, gobernanza participativa. El Código Genético especifica: «Transparencia radical — todo es auditable, trazable y verificable públicamente. Código abierto (MIT, GPL, CC). Transacciones en blockchain público. Decisiones justificadas públicamente.»</w:t>
      </w:r>
    </w:p>
    <w:p>
      <w:r>
        <w:br w:type="page"/>
      </w:r>
    </w:p>
    <w:p>
      <w:pPr>
        <w:pStyle w:val="Heading1"/>
      </w:pPr>
      <w:r>
        <w:t xml:space="preserve">Capítulo 8</w:t>
      </w:r>
    </w:p>
    <w:p>
      <w:pPr>
        <w:pStyle w:val="Heading1"/>
      </w:pPr>
      <w:r>
        <w:t xml:space="preserve">DAOs y nuevas formas de coordinación digital</w:t>
      </w:r>
    </w:p>
    <w:p>
      <w:pPr>
        <w:pStyle w:val="Epigraph"/>
      </w:pPr>
      <w:r>
        <w:t xml:space="preserve">«La tecnología no es neutral.</w:t>
      </w:r>
    </w:p>
    <w:p>
      <w:pPr>
        <w:pStyle w:val="Epigraph"/>
      </w:pPr>
      <w:r>
        <w:t xml:space="preserve">Puede diseñarse para la dominación o para la cooperación.»</w:t>
      </w:r>
    </w:p>
    <w:p>
      <w:pPr>
        <w:spacing w:before="400" w:after="200"/>
      </w:pPr>
      <w:r>
        <w:t xml:space="preserve">Las DAOs (Decentralized Autonomous Organizations) son experimentos de gobernanza digital que intentan coordinar acción colectiva sin autoridad centralizada. Más allá del hype cripto, hay ideas potentes.</w:t>
      </w:r>
    </w:p>
    <w:p>
      <w:pPr>
        <w:pStyle w:val="Heading2"/>
      </w:pPr>
      <w:r>
        <w:t xml:space="preserve">¿Qué es una DAO?</w:t>
      </w:r>
    </w:p>
    <w:p>
      <w:pPr>
        <w:spacing w:after="200"/>
      </w:pPr>
      <w:r>
        <w:t xml:space="preserve">Una DAO es una organización cuyas reglas están codificadas en software (smart contracts) que se ejecuta automáticamente. En teoría:</w:t>
      </w:r>
    </w:p>
    <w:p>
      <w:pPr>
        <w:spacing w:after="100"/>
        <w:ind w:left="400"/>
      </w:pPr>
      <w:r>
        <w:t xml:space="preserve">— Reglas transparentes: cualquiera puede leer el código</w:t>
      </w:r>
    </w:p>
    <w:p>
      <w:pPr>
        <w:spacing w:after="100"/>
        <w:ind w:left="400"/>
      </w:pPr>
      <w:r>
        <w:t xml:space="preserve">— Ejecución automática: no depende de que alguien cumpla su palabra</w:t>
      </w:r>
    </w:p>
    <w:p>
      <w:pPr>
        <w:spacing w:after="100"/>
        <w:ind w:left="400"/>
      </w:pPr>
      <w:r>
        <w:t xml:space="preserve">— Gobernanza por tokens: votación proporcional a participación</w:t>
      </w:r>
    </w:p>
    <w:p>
      <w:pPr>
        <w:spacing w:after="200"/>
        <w:ind w:left="400"/>
      </w:pPr>
      <w:r>
        <w:t xml:space="preserve">— Resistente a censura: ningún actor puede cerrarla unilateralmente</w:t>
      </w:r>
    </w:p>
    <w:p>
      <w:pPr>
        <w:spacing w:after="400"/>
      </w:pPr>
      <w:r>
        <w:t xml:space="preserve">En la práctica, la mayoría de DAOs reproducen dinámicas plutocráticas: quien más tokens tiene, más poder tiene. Pero hay innovaciones interesantes.</w:t>
      </w:r>
    </w:p>
    <w:p>
      <w:pPr>
        <w:pStyle w:val="Heading2"/>
      </w:pPr>
      <w:r>
        <w:t xml:space="preserve">Innovaciones en gobernanza digital</w:t>
      </w:r>
    </w:p>
    <w:p>
      <w:pPr>
        <w:spacing w:after="200"/>
      </w:pPr>
      <w:r>
        <w:rPr>
          <w:b/>
          <w:bCs/>
        </w:rPr>
        <w:t xml:space="preserve">Votación cuadrática:</w:t>
      </w:r>
      <w:r>
        <w:t xml:space="preserve"> en vez de 1 token = 1 voto (plutocracia) o 1 persona = 1 voto (difícil de verificar online), la votación cuadrática permite expresar intensidad de preferencias mientras limita el poder de los grandes tenedores. Matemáticamente elegante.</w:t>
      </w:r>
    </w:p>
    <w:p>
      <w:pPr>
        <w:spacing w:after="200"/>
      </w:pPr>
      <w:r>
        <w:rPr>
          <w:b/>
          <w:bCs/>
        </w:rPr>
        <w:t xml:space="preserve">Retroactive Public Goods Funding:</w:t>
      </w:r>
      <w:r>
        <w:t xml:space="preserve"> financiar bienes públicos después de que demuestren valor, no antes. Elimina el problema de elegir ganadores. Gitcoin y Optimism experimentan con esto.</w:t>
      </w:r>
    </w:p>
    <w:p>
      <w:pPr>
        <w:spacing w:after="200"/>
      </w:pPr>
      <w:r>
        <w:rPr>
          <w:b/>
          <w:bCs/>
        </w:rPr>
        <w:t xml:space="preserve">Conviction Voting:</w:t>
      </w:r>
      <w:r>
        <w:t xml:space="preserve"> los votos acumulan «convicción» con el tiempo. Favorece propuestas con apoyo sostenido sobre modas pasajeras.</w:t>
      </w:r>
    </w:p>
    <w:p>
      <w:pPr>
        <w:spacing w:after="200"/>
      </w:pPr>
      <w:r>
        <w:rPr>
          <w:b/>
          <w:bCs/>
        </w:rPr>
        <w:t xml:space="preserve">Delegación líquida:</w:t>
      </w:r>
      <w:r>
        <w:t xml:space="preserve"> puedes delegar tu voto en alguien de confianza para temas específicos, pero recuperarlo cuando quieras. Combina eficiencia de representación con posibilidad de participación directa.</w:t>
      </w:r>
    </w:p>
    <w:p>
      <w:pPr>
        <w:pStyle w:val="CodeGenetic"/>
      </w:pPr>
      <w:r>
        <w:t xml:space="preserve">Del Código Genético — Proof-of-Help: «El poder de decisión se gana ayudando, no acumulando capital o tokens. Fórmula: flowPower = (timeDonated * 2 + projectContributions * 5 + generosityScore * 10 + communityEndorsements * 3) / totalCommunityContribution. Máximo: nadie puede tener más de 2-3x el poder del mínimo. Anti-plutocracia: el dinero NO compra votos.»</w:t>
      </w:r>
    </w:p>
    <w:p>
      <w:pPr>
        <w:pStyle w:val="Heading2"/>
      </w:pPr>
      <w:r>
        <w:t xml:space="preserve">Limitaciones y riesgos</w:t>
      </w:r>
    </w:p>
    <w:p>
      <w:pPr>
        <w:spacing w:after="200"/>
      </w:pPr>
      <w:r>
        <w:t xml:space="preserve">Las DAOs no son panacea. Riesgos reales:</w:t>
      </w:r>
    </w:p>
    <w:p>
      <w:pPr>
        <w:pStyle w:val="AntiPattern"/>
      </w:pPr>
      <w:r>
        <w:t xml:space="preserve">❌ Plutocracia disfrazada: la mayoría de DAOs dan poder proporcional al capital</w:t>
      </w:r>
    </w:p>
    <w:p>
      <w:pPr>
        <w:pStyle w:val="AntiPattern"/>
      </w:pPr>
      <w:r>
        <w:t xml:space="preserve">❌ Baja participación: votan pocos, deciden menos</w:t>
      </w:r>
    </w:p>
    <w:p>
      <w:pPr>
        <w:pStyle w:val="AntiPattern"/>
      </w:pPr>
      <w:r>
        <w:t xml:space="preserve">❌ Complejidad técnica: excluye a quienes no entienden la tecnología</w:t>
      </w:r>
    </w:p>
    <w:p>
      <w:pPr>
        <w:pStyle w:val="AntiPattern"/>
      </w:pPr>
      <w:r>
        <w:t xml:space="preserve">❌ «Code is law» naive: el código tiene bugs, la ley tiene interpretación</w:t>
      </w:r>
    </w:p>
    <w:p>
      <w:pPr>
        <w:pStyle w:val="AntiPattern"/>
      </w:pPr>
      <w:r>
        <w:t xml:space="preserve">❌ Especulación financiera: muchas DAOs son vehículos de especulación, no de coordinación real</w:t>
      </w:r>
    </w:p>
    <w:p>
      <w:pPr>
        <w:spacing w:after="400"/>
      </w:pPr>
      <w:r>
        <w:t xml:space="preserve">La tecnología blockchain no es mágica. Puede reproducir las mismas dinámicas de poder que pretende superar. Lo importante es el diseño de gobernanza, no la tecnología subyacente.</w:t>
      </w:r>
    </w:p>
    <w:p>
      <w:pPr>
        <w:pStyle w:val="Heading2"/>
      </w:pPr>
      <w:r>
        <w:t xml:space="preserve">El potencial real</w:t>
      </w:r>
    </w:p>
    <w:p>
      <w:pPr>
        <w:spacing w:after="200"/>
      </w:pPr>
      <w:r>
        <w:t xml:space="preserve">Más allá del hype, las DAOs ofrecen capacidades genuinamente nuevas:</w:t>
      </w:r>
    </w:p>
    <w:p>
      <w:pPr>
        <w:spacing w:after="150"/>
        <w:ind w:left="400"/>
      </w:pPr>
      <w:r>
        <w:t xml:space="preserve">— Coordinación global sin institución central</w:t>
      </w:r>
    </w:p>
    <w:p>
      <w:pPr>
        <w:spacing w:after="150"/>
        <w:ind w:left="400"/>
      </w:pPr>
      <w:r>
        <w:t xml:space="preserve">— Transparencia perfecta de reglas y transacciones</w:t>
      </w:r>
    </w:p>
    <w:p>
      <w:pPr>
        <w:spacing w:after="150"/>
        <w:ind w:left="400"/>
      </w:pPr>
      <w:r>
        <w:t xml:space="preserve">— Experimentación rápida con mecanismos de gobernanza</w:t>
      </w:r>
    </w:p>
    <w:p>
      <w:pPr>
        <w:spacing w:after="150"/>
        <w:ind w:left="400"/>
      </w:pPr>
      <w:r>
        <w:t xml:space="preserve">— Financiación colectiva de bienes públicos</w:t>
      </w:r>
    </w:p>
    <w:p>
      <w:pPr>
        <w:spacing w:after="400"/>
        <w:ind w:left="400"/>
      </w:pPr>
      <w:r>
        <w:t xml:space="preserve">— Laboratorio de democracia digital</w:t>
      </w:r>
    </w:p>
    <w:p>
      <w:pPr>
        <w:spacing w:after="400"/>
      </w:pPr>
      <w:r>
        <w:t xml:space="preserve">Usadas con cuidado, estas herramientas pueden complementar (no reemplazar) formas tradicionales de organización comunitaria.</w:t>
      </w:r>
    </w:p>
    <w:p>
      <w:r>
        <w:br w:type="page"/>
      </w:r>
    </w:p>
    <w:p>
      <w:pPr>
        <w:spacing w:before="2000"/>
      </w:pPr>
    </w:p>
    <w:p>
      <w:pPr>
        <w:jc w:val="center"/>
      </w:pPr>
      <w:r>
        <w:rPr>
          <w:color w:val="888888"/>
          <w:sz w:val="48"/>
          <w:szCs w:val="48"/>
        </w:rPr>
        <w:t xml:space="preserve">❧</w:t>
      </w:r>
    </w:p>
    <w:p>
      <w:pPr>
        <w:spacing w:before="600"/>
      </w:pPr>
    </w:p>
    <w:p>
      <w:pPr>
        <w:spacing w:after="200"/>
        <w:jc w:val="center"/>
      </w:pPr>
      <w:r>
        <w:rPr>
          <w:rFonts w:ascii="Georgia" w:cs="Georgia" w:eastAsia="Georgia" w:hAnsi="Georgia"/>
          <w:i/>
          <w:iCs/>
          <w:color w:val="555555"/>
          <w:sz w:val="28"/>
          <w:szCs w:val="28"/>
        </w:rPr>
        <w:t xml:space="preserve">Fin de la Parte II</w:t>
      </w:r>
    </w:p>
    <w:p>
      <w:pPr>
        <w:jc w:val="center"/>
      </w:pPr>
      <w:r>
        <w:rPr>
          <w:rFonts w:ascii="Georgia" w:cs="Georgia" w:eastAsia="Georgia" w:hAnsi="Georgia"/>
          <w:i/>
          <w:iCs/>
          <w:color w:val="666666"/>
          <w:sz w:val="24"/>
          <w:szCs w:val="24"/>
        </w:rPr>
        <w:t xml:space="preserve">Hemos visto que las alternativas existen:</w:t>
      </w:r>
    </w:p>
    <w:p>
      <w:pPr>
        <w:jc w:val="center"/>
      </w:pPr>
      <w:r>
        <w:rPr>
          <w:rFonts w:ascii="Georgia" w:cs="Georgia" w:eastAsia="Georgia" w:hAnsi="Georgia"/>
          <w:i/>
          <w:iCs/>
          <w:color w:val="666666"/>
          <w:sz w:val="24"/>
          <w:szCs w:val="24"/>
        </w:rPr>
        <w:t xml:space="preserve">cooperativas, organizaciones sin jefes, commons, DAOs.</w:t>
      </w:r>
    </w:p>
    <w:p>
      <w:pPr>
        <w:jc w:val="center"/>
      </w:pPr>
      <w:r>
        <w:rPr>
          <w:rFonts w:ascii="Georgia" w:cs="Georgia" w:eastAsia="Georgia" w:hAnsi="Georgia"/>
          <w:i/>
          <w:iCs/>
          <w:color w:val="666666"/>
          <w:sz w:val="24"/>
          <w:szCs w:val="24"/>
        </w:rPr>
        <w:t xml:space="preserve">No son utopías — son realidades funcionando.</w:t>
      </w:r>
    </w:p>
    <w:p>
      <w:pPr>
        <w:spacing w:before="400"/>
      </w:pPr>
    </w:p>
    <w:p>
      <w:pPr>
        <w:jc w:val="center"/>
      </w:pPr>
      <w:r>
        <w:rPr>
          <w:rFonts w:ascii="Georgia" w:cs="Georgia" w:eastAsia="Georgia" w:hAnsi="Georgia"/>
          <w:i/>
          <w:iCs/>
          <w:color w:val="666666"/>
          <w:sz w:val="24"/>
          <w:szCs w:val="24"/>
        </w:rPr>
        <w:t xml:space="preserve">Ahora entramos en las herramientas concretas:</w:t>
      </w:r>
    </w:p>
    <w:p>
      <w:pPr>
        <w:spacing w:before="100"/>
        <w:jc w:val="center"/>
      </w:pPr>
      <w:r>
        <w:rPr>
          <w:rFonts w:ascii="Georgia" w:cs="Georgia" w:eastAsia="Georgia" w:hAnsi="Georgia"/>
          <w:i/>
          <w:iCs/>
          <w:color w:val="444444"/>
          <w:sz w:val="24"/>
          <w:szCs w:val="24"/>
        </w:rPr>
        <w:t xml:space="preserve">el kit de construcción del nuevo mundo.</w:t>
      </w:r>
    </w:p>
    <w:p>
      <w:pPr>
        <w:spacing w:before="600"/>
      </w:pPr>
    </w:p>
    <w:p>
      <w:pPr>
        <w:jc w:val="center"/>
      </w:pPr>
      <w:r>
        <w:rPr>
          <w:rFonts w:ascii="Georgia" w:cs="Georgia" w:eastAsia="Georgia" w:hAnsi="Georgia"/>
          <w:color w:val="888888"/>
          <w:sz w:val="22"/>
          <w:szCs w:val="22"/>
        </w:rPr>
        <w:t xml:space="preserve">Continúa en Parte III:</w:t>
      </w:r>
    </w:p>
    <w:p>
      <w:pPr>
        <w:jc w:val="center"/>
      </w:pPr>
      <w:r>
        <w:rPr>
          <w:rFonts w:ascii="Georgia" w:cs="Georgia" w:eastAsia="Georgia" w:hAnsi="Georgia"/>
          <w:b/>
          <w:bCs/>
          <w:color w:val="333333"/>
          <w:sz w:val="26"/>
          <w:szCs w:val="26"/>
        </w:rPr>
        <w:t xml:space="preserve">HERRAMIENTAS PARA LA TRANSICIÓN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t xml:space="preserve">— </w:t>
    </w:r>
    <w:r>
      <w:rPr>
        <w:color w:val="888888"/>
        <w:sz w:val="20"/>
        <w:szCs w:val="20"/>
      </w:rPr>
      <w:fldChar w:fldCharType="begin"/>
      <w:instrText xml:space="preserve">PAGE</w:instrText>
      <w:fldChar w:fldCharType="separate"/>
      <w:fldChar w:fldCharType="end"/>
    </w:r>
    <w:r>
      <w:rPr>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MANUAL DE TRANSICIÓN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333333"/>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444444"/>
      <w:sz w:val="24"/>
      <w:szCs w:val="24"/>
    </w:rPr>
  </w:style>
  <w:style w:type="paragraph" w:styleId="Epigraph">
    <w:name w:val="Epigraph"/>
    <w:basedOn w:val="Normal"/>
    <w:pPr>
      <w:spacing w:before="200" w:after="300"/>
      <w:jc w:val="center"/>
    </w:pPr>
    <w:rPr>
      <w:rFonts w:ascii="Georgia" w:cs="Georgia" w:eastAsia="Georgia" w:hAnsi="Georgia"/>
      <w:i/>
      <w:iCs/>
      <w:color w:val="555555"/>
      <w:sz w:val="22"/>
      <w:szCs w:val="22"/>
    </w:rPr>
  </w:style>
  <w:style w:type="paragraph" w:styleId="Principle">
    <w:name w:val="Principle"/>
    <w:basedOn w:val="Normal"/>
    <w:pPr>
      <w:spacing w:before="200" w:after="100"/>
      <w:ind w:left="400"/>
    </w:pPr>
    <w:rPr>
      <w:rFonts w:ascii="Georgia" w:cs="Georgia" w:eastAsia="Georgia" w:hAnsi="Georgia"/>
      <w:b/>
      <w:bCs/>
      <w:color w:val="2a4a2a"/>
      <w:sz w:val="22"/>
      <w:szCs w:val="22"/>
    </w:rPr>
  </w:style>
  <w:style w:type="paragraph" w:styleId="AntiPattern">
    <w:name w:val="Anti Pattern"/>
    <w:basedOn w:val="Normal"/>
    <w:pPr>
      <w:spacing w:before="100" w:after="100"/>
      <w:ind w:left="600"/>
    </w:pPr>
    <w:rPr>
      <w:rFonts w:ascii="Georgia" w:cs="Georgia" w:eastAsia="Georgia" w:hAnsi="Georgia"/>
      <w:color w:val="8b0000"/>
      <w:sz w:val="21"/>
      <w:szCs w:val="21"/>
    </w:rPr>
  </w:style>
  <w:style w:type="paragraph" w:styleId="Case">
    <w:name w:val="Case Study"/>
    <w:basedOn w:val="Normal"/>
    <w:pPr>
      <w:spacing w:before="200" w:after="200"/>
      <w:ind w:left="400" w:right="400"/>
    </w:pPr>
    <w:rPr>
      <w:rFonts w:ascii="Georgia" w:cs="Georgia" w:eastAsia="Georgia" w:hAnsi="Georgia"/>
      <w:i/>
      <w:iCs/>
      <w:color w:val="2a2a5a"/>
      <w:sz w:val="22"/>
      <w:szCs w:val="22"/>
    </w:rPr>
  </w:style>
  <w:style w:type="paragraph" w:styleId="CodeGenetic">
    <w:name w:val="Code Genetic"/>
    <w:basedOn w:val="Normal"/>
    <w:pPr>
      <w:spacing w:before="150" w:after="150"/>
      <w:ind w:left="500" w:right="500"/>
    </w:pPr>
    <w:rPr>
      <w:rFonts w:ascii="Georgia" w:cs="Georgia" w:eastAsia="Georgia" w:hAnsi="Georgia"/>
      <w:color w:val="2a5a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2025-11-28T23:42:18.880Z</dcterms:created>
  <dcterms:modified xsi:type="dcterms:W3CDTF">2025-11-28T23:42:18.881Z</dcterms:modified>
</cp:coreProperties>
</file>

<file path=docProps/custom.xml><?xml version="1.0" encoding="utf-8"?>
<Properties xmlns="http://schemas.openxmlformats.org/officeDocument/2006/custom-properties" xmlns:vt="http://schemas.openxmlformats.org/officeDocument/2006/docPropsVTypes"/>
</file>