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333333"/>
          <w:sz w:val="32"/>
          <w:szCs w:val="32"/>
        </w:rPr>
        <w:t xml:space="preserve">PARTE III</w:t>
      </w:r>
    </w:p>
    <w:p>
      <w:pPr>
        <w:spacing w:before="400"/>
      </w:pPr>
    </w:p>
    <w:p>
      <w:pPr>
        <w:jc w:val="center"/>
      </w:pPr>
      <w:r>
        <w:rPr>
          <w:rFonts w:ascii="Georgia" w:cs="Georgia" w:eastAsia="Georgia" w:hAnsi="Georgia"/>
          <w:b/>
          <w:bCs/>
          <w:sz w:val="40"/>
          <w:szCs w:val="40"/>
        </w:rPr>
        <w:t xml:space="preserve">HERRAMIENTAS PARA LA TRANSICIÓN</w:t>
      </w:r>
    </w:p>
    <w:p>
      <w:pPr>
        <w:spacing w:before="300"/>
      </w:pPr>
    </w:p>
    <w:p>
      <w:pPr>
        <w:jc w:val="center"/>
      </w:pPr>
      <w:r>
        <w:rPr>
          <w:rFonts w:ascii="Georgia" w:cs="Georgia" w:eastAsia="Georgia" w:hAnsi="Georgia"/>
          <w:i/>
          <w:iCs/>
          <w:color w:val="555555"/>
          <w:sz w:val="26"/>
          <w:szCs w:val="26"/>
        </w:rPr>
        <w:t xml:space="preserve">El kit de construcción del nuevo mundo</w:t>
      </w:r>
    </w:p>
    <w:p>
      <w:r>
        <w:br w:type="page"/>
      </w:r>
    </w:p>
    <w:p>
      <w:pPr>
        <w:pStyle w:val="Heading1"/>
      </w:pPr>
      <w:r>
        <w:t xml:space="preserve">Capítulo 9</w:t>
      </w:r>
    </w:p>
    <w:p>
      <w:pPr>
        <w:pStyle w:val="Heading1"/>
      </w:pPr>
      <w:r>
        <w:t xml:space="preserve">Herramientas económicas</w:t>
      </w:r>
    </w:p>
    <w:p>
      <w:pPr>
        <w:pStyle w:val="Epigraph"/>
      </w:pPr>
      <w:r>
        <w:t xml:space="preserve">«El dinero es una tecnología social.</w:t>
      </w:r>
    </w:p>
    <w:p>
      <w:pPr>
        <w:pStyle w:val="Epigraph"/>
      </w:pPr>
      <w:r>
        <w:t xml:space="preserve">Podemos rediseñarla.»</w:t>
      </w:r>
    </w:p>
    <w:p>
      <w:pPr>
        <w:spacing w:before="400" w:after="200"/>
      </w:pPr>
      <w:r>
        <w:t xml:space="preserve">La economía no es ley natural — es conjunto de reglas inventadas por humanos. Podemos inventar otras. Este capítulo presenta herramientas económicas alternativas que ya funcionan.</w:t>
      </w:r>
    </w:p>
    <w:p>
      <w:pPr>
        <w:pStyle w:val="Heading2"/>
      </w:pPr>
      <w:r>
        <w:t xml:space="preserve">Monedas locales y complementarias</w:t>
      </w:r>
    </w:p>
    <w:p>
      <w:pPr>
        <w:spacing w:after="200"/>
      </w:pPr>
      <w:r>
        <w:t xml:space="preserve">El dinero oficial tiene un problema: se escapa. Gastas en el supermercado de cadena y el dinero se va a la sede central. La riqueza local se drena hacia centros financieros globales.</w:t>
      </w:r>
    </w:p>
    <w:p>
      <w:pPr>
        <w:spacing w:after="200"/>
      </w:pPr>
      <w:r>
        <w:t xml:space="preserve">Las monedas locales son dinero que solo circula en un territorio. No reemplazan al euro; lo complementan. Pero mantienen la riqueza circulando localmente.</w:t>
      </w:r>
    </w:p>
    <w:p>
      <w:pPr>
        <w:pStyle w:val="Tool"/>
      </w:pPr>
      <w:r>
        <w:t xml:space="preserve">→ WIR (Suiza)</w:t>
      </w:r>
    </w:p>
    <w:p>
      <w:pPr>
        <w:spacing w:after="200"/>
      </w:pPr>
      <w:r>
        <w:t xml:space="preserve">El WIR existe desde 1934. 60,000 empresas suizas comercian en esta moneda complementaria. Funciona como crédito mutuo entre empresas: si te compro algo, te debo WIR; si me compras, me debes. Se cancela cuando el círculo se cierra. Ha ayudado a estabilizar la economía suiza durante crisis.</w:t>
      </w:r>
    </w:p>
    <w:p>
      <w:pPr>
        <w:pStyle w:val="Tool"/>
      </w:pPr>
      <w:r>
        <w:t xml:space="preserve">→ Bristol Pound (UK)</w:t>
      </w:r>
    </w:p>
    <w:p>
      <w:pPr>
        <w:spacing w:after="200"/>
      </w:pPr>
      <w:r>
        <w:t xml:space="preserve">Moneda local de Bristol. 1 Bristol Pound = 1 Libra esterlina, pero solo se acepta en negocios locales. Incluso puedes pagar impuestos locales con ella. Mantuvo millones circulando en la economía local.</w:t>
      </w:r>
    </w:p>
    <w:p>
      <w:pPr>
        <w:pStyle w:val="Tool"/>
      </w:pPr>
      <w:r>
        <w:t xml:space="preserve">→ Sardex (Cerdeña)</w:t>
      </w:r>
    </w:p>
    <w:p>
      <w:pPr>
        <w:spacing w:after="200"/>
      </w:pPr>
      <w:r>
        <w:t xml:space="preserve">Red de crédito mutuo entre empresas sardas. Sin intereses, sin dinero físico — pura compensación de créditos. Miles de empresas, millones de euros en transacciones anuales. Modelo replicado en otras regiones italianas.</w:t>
      </w:r>
    </w:p>
    <w:p>
      <w:pPr>
        <w:pStyle w:val="CodeGenetic"/>
      </w:pPr>
      <w:r>
        <w:t xml:space="preserve">Del Código Genético — Sistema Híbrido Multi-Valor: «El valor no es solo dinero. Reconocemos múltiples formas de riqueza que coexisten: FIAT (EUR), SOCIAL (SEMILLA/CRD), TIME (horas), REPUTATION (TrustScore), KNOWLEDGE (skills), CARE (trabajo de cuidados). Toda app debe soportar al menos 2 tipos de valor.»</w:t>
      </w:r>
    </w:p>
    <w:p>
      <w:pPr>
        <w:pStyle w:val="Heading2"/>
      </w:pPr>
      <w:r>
        <w:t xml:space="preserve">Bancos de tiempo</w:t>
      </w:r>
    </w:p>
    <w:p>
      <w:pPr>
        <w:spacing w:after="200"/>
      </w:pPr>
      <w:r>
        <w:t xml:space="preserve">En un banco de tiempo, la moneda es la hora. Una hora de tu trabajo = una hora del mío, sin importar qué hacemos. El abogado y la cuidadora valen lo mismo. Radical igualitarismo económico.</w:t>
      </w:r>
    </w:p>
    <w:p>
      <w:pPr>
        <w:pStyle w:val="HowTo"/>
      </w:pPr>
      <w:r>
        <w:t xml:space="preserve">Cómo funciona:</w:t>
      </w:r>
    </w:p>
    <w:p>
      <w:pPr>
        <w:pStyle w:val="HowTo"/>
      </w:pPr>
      <w:r>
        <w:t xml:space="preserve">1. Te registras en un banco de tiempo local</w:t>
      </w:r>
    </w:p>
    <w:p>
      <w:pPr>
        <w:pStyle w:val="HowTo"/>
      </w:pPr>
      <w:r>
        <w:t xml:space="preserve">2. Ofreces tus habilidades (cocina, idiomas, reparaciones, compañía...)</w:t>
      </w:r>
    </w:p>
    <w:p>
      <w:pPr>
        <w:pStyle w:val="HowTo"/>
      </w:pPr>
      <w:r>
        <w:t xml:space="preserve">3. Cuando ayudas a alguien, ganas horas</w:t>
      </w:r>
    </w:p>
    <w:p>
      <w:pPr>
        <w:pStyle w:val="HowTo"/>
      </w:pPr>
      <w:r>
        <w:t xml:space="preserve">4. Cuando necesitas ayuda, gastas horas</w:t>
      </w:r>
    </w:p>
    <w:p>
      <w:pPr>
        <w:pStyle w:val="HowTo"/>
      </w:pPr>
      <w:r>
        <w:t xml:space="preserve">5. El banco facilita los intercambios y lleva las cuentas</w:t>
      </w:r>
    </w:p>
    <w:p>
      <w:pPr>
        <w:spacing w:after="200"/>
      </w:pPr>
      <w:r>
        <w:t xml:space="preserve">Hay miles de bancos de tiempo en todo el mundo. Especialmente útiles para personas con poco dinero pero mucho que ofrecer (jubilados, desempleados, cuidadores).</w:t>
      </w:r>
    </w:p>
    <w:p>
      <w:pPr>
        <w:spacing w:after="400"/>
      </w:pPr>
      <w:r>
        <w:t xml:space="preserve">Más allá del valor económico, los bancos de tiempo tejen comunidad. Conoces a tus vecinos, descubres talentos ocultos, creas red de apoyo mutuo.</w:t>
      </w:r>
    </w:p>
    <w:p>
      <w:pPr>
        <w:pStyle w:val="Heading2"/>
      </w:pPr>
      <w:r>
        <w:t xml:space="preserve">Crowdfunding y financiación colectiva</w:t>
      </w:r>
    </w:p>
    <w:p>
      <w:pPr>
        <w:spacing w:after="200"/>
      </w:pPr>
      <w:r>
        <w:t xml:space="preserve">El crowdfunding democratiza el acceso al capital. En vez de convencer a un banco o un inversor, convences a cientos de pequeños aportantes.</w:t>
      </w:r>
    </w:p>
    <w:p>
      <w:pPr>
        <w:pStyle w:val="Tool"/>
      </w:pPr>
      <w:r>
        <w:t xml:space="preserve">→ Goteo (España)</w:t>
      </w:r>
    </w:p>
    <w:p>
      <w:pPr>
        <w:spacing w:after="200"/>
      </w:pPr>
      <w:r>
        <w:t xml:space="preserve">Plataforma de crowdfunding para proyectos de impacto social. Innovación: exige que los proyectos generen «retornos colectivos» (conocimiento abierto, código libre, datos públicos). No solo financiación; construcción de commons.</w:t>
      </w:r>
    </w:p>
    <w:p>
      <w:pPr>
        <w:pStyle w:val="Tool"/>
      </w:pPr>
      <w:r>
        <w:t xml:space="preserve">→ Kiva</w:t>
      </w:r>
    </w:p>
    <w:p>
      <w:pPr>
        <w:spacing w:after="200"/>
      </w:pPr>
      <w:r>
        <w:t xml:space="preserve">Microcréditos peer-to-peer. Prestas 25$ a un emprendedor en otro país. Cuando devuelve, puedes prestar a otro. Tasa de devolución del 96%. Millones prestados, cero beneficio para el prestamista — pura solidaridad.</w:t>
      </w:r>
    </w:p>
    <w:p>
      <w:pPr>
        <w:spacing w:after="400"/>
      </w:pPr>
      <w:r>
        <w:t xml:space="preserve">El crowdfunding funciona mejor para proyectos con comunidad existente. No es magia — requiere comunicación, transparencia, construcción de confianza.</w:t>
      </w:r>
    </w:p>
    <w:p>
      <w:pPr>
        <w:pStyle w:val="Heading2"/>
      </w:pPr>
      <w:r>
        <w:t xml:space="preserve">Economía circular</w:t>
      </w:r>
    </w:p>
    <w:p>
      <w:pPr>
        <w:spacing w:after="200"/>
      </w:pPr>
      <w:r>
        <w:t xml:space="preserve">La economía lineal extrae recursos, los transforma en productos, los usa y los descarta. La economía circular cierra el ciclo: los residuos de un proceso son insumos de otro.</w:t>
      </w:r>
    </w:p>
    <w:p>
      <w:pPr>
        <w:spacing w:after="200"/>
      </w:pPr>
      <w:r>
        <w:t xml:space="preserve">Herramientas concretas:</w:t>
      </w:r>
    </w:p>
    <w:p>
      <w:pPr>
        <w:pStyle w:val="Tool"/>
      </w:pPr>
      <w:r>
        <w:t xml:space="preserve">→ Diseño cuna a cuna (Cradle to Cradle)</w:t>
      </w:r>
    </w:p>
    <w:p>
      <w:pPr>
        <w:spacing w:after="200"/>
      </w:pPr>
      <w:r>
        <w:t xml:space="preserve">Diseñar productos pensando en su fin de vida. Materiales biológicos que se compostan. Materiales técnicos que se reciclan indefinidamente. Productos modulares fáciles de reparar y actualizar.</w:t>
      </w:r>
    </w:p>
    <w:p>
      <w:pPr>
        <w:pStyle w:val="Tool"/>
      </w:pPr>
      <w:r>
        <w:t xml:space="preserve">→ Producto como servicio</w:t>
      </w:r>
    </w:p>
    <w:p>
      <w:pPr>
        <w:spacing w:after="200"/>
      </w:pPr>
      <w:r>
        <w:t xml:space="preserve">No compras la lavadora; compras lavados. No compras el coche; compras movilidad. El fabricante mantiene la propiedad y el incentivo de que dure, se repare, se recicle.</w:t>
      </w:r>
    </w:p>
    <w:p>
      <w:pPr>
        <w:pStyle w:val="Tool"/>
      </w:pPr>
      <w:r>
        <w:t xml:space="preserve">→ Simbiosis industrial</w:t>
      </w:r>
    </w:p>
    <w:p>
      <w:pPr>
        <w:spacing w:after="200"/>
      </w:pPr>
      <w:r>
        <w:t xml:space="preserve">Empresas cercanas intercambian residuos. El calor residual de una fábrica calienta invernaderos vecinos. Los residuos orgánicos de restaurantes alimentan granjas. El parque industrial de Kalundborg (Dinamarca) es modelo mundial.</w:t>
      </w:r>
    </w:p>
    <w:p>
      <w:pPr>
        <w:pStyle w:val="CodeGenetic"/>
      </w:pPr>
      <w:r>
        <w:t xml:space="preserve">Del Código Genético — Regeneración sobre Sostenibilidad: «No basta con no hacer daño. Debemos dejar el sistema mejor que lo encontramos. Métricas: CO2 evitado, riqueza redistribuida, capital social creado, conocimiento compartido.»</w:t>
      </w:r>
    </w:p>
    <w:p>
      <w:r>
        <w:br w:type="page"/>
      </w:r>
    </w:p>
    <w:p>
      <w:pPr>
        <w:pStyle w:val="Heading1"/>
      </w:pPr>
      <w:r>
        <w:t xml:space="preserve">Capítulo 10</w:t>
      </w:r>
    </w:p>
    <w:p>
      <w:pPr>
        <w:pStyle w:val="Heading1"/>
      </w:pPr>
      <w:r>
        <w:t xml:space="preserve">Herramientas de gobernanza</w:t>
      </w:r>
    </w:p>
    <w:p>
      <w:pPr>
        <w:pStyle w:val="Epigraph"/>
      </w:pPr>
      <w:r>
        <w:t xml:space="preserve">«La democracia no es votar cada cuatro años.</w:t>
      </w:r>
    </w:p>
    <w:p>
      <w:pPr>
        <w:pStyle w:val="Epigraph"/>
      </w:pPr>
      <w:r>
        <w:t xml:space="preserve">Es participar cada día.»</w:t>
      </w:r>
    </w:p>
    <w:p>
      <w:pPr>
        <w:spacing w:before="400" w:after="200"/>
      </w:pPr>
      <w:r>
        <w:t xml:space="preserve">Tomar decisiones colectivas es difícil. Estas herramientas lo hacen más fácil, más justo, más inteligente.</w:t>
      </w:r>
    </w:p>
    <w:p>
      <w:pPr>
        <w:pStyle w:val="Heading2"/>
      </w:pPr>
      <w:r>
        <w:t xml:space="preserve">Sociocracia: manual práctico</w:t>
      </w:r>
    </w:p>
    <w:p>
      <w:pPr>
        <w:spacing w:after="200"/>
      </w:pPr>
      <w:r>
        <w:t xml:space="preserve">La sociocracia es un sistema de gobernanza diseñado para organizaciones que quieren ser eficaces Y democráticas. Funciona.</w:t>
      </w:r>
    </w:p>
    <w:p>
      <w:pPr>
        <w:pStyle w:val="Tool"/>
      </w:pPr>
      <w:r>
        <w:t xml:space="preserve">→ Principio 1: Consentimiento</w:t>
      </w:r>
    </w:p>
    <w:p>
      <w:pPr>
        <w:spacing w:after="200"/>
      </w:pPr>
      <w:r>
        <w:t xml:space="preserve">Las decisiones se toman cuando no hay objeciones razonadas. No es consenso (todos de acuerdo) ni mayoría (gana quien tiene más votos). Es «nadie tiene razones fundamentadas para oponerse». Más rápido que consenso, más inclusivo que mayoría.</w:t>
      </w:r>
    </w:p>
    <w:p>
      <w:pPr>
        <w:pStyle w:val="HowTo"/>
      </w:pPr>
      <w:r>
        <w:t xml:space="preserve">Proceso de decisión por consentimiento:</w:t>
      </w:r>
    </w:p>
    <w:p>
      <w:pPr>
        <w:pStyle w:val="HowTo"/>
      </w:pPr>
      <w:r>
        <w:t xml:space="preserve">1. Se presenta una propuesta</w:t>
      </w:r>
    </w:p>
    <w:p>
      <w:pPr>
        <w:pStyle w:val="HowTo"/>
      </w:pPr>
      <w:r>
        <w:t xml:space="preserve">2. Ronda de preguntas aclaratorias (sin opinar)</w:t>
      </w:r>
    </w:p>
    <w:p>
      <w:pPr>
        <w:pStyle w:val="HowTo"/>
      </w:pPr>
      <w:r>
        <w:t xml:space="preserve">3. Ronda de reacciones (cada persona opina brevemente)</w:t>
      </w:r>
    </w:p>
    <w:p>
      <w:pPr>
        <w:pStyle w:val="HowTo"/>
      </w:pPr>
      <w:r>
        <w:t xml:space="preserve">4. El proponente puede modificar la propuesta</w:t>
      </w:r>
    </w:p>
    <w:p>
      <w:pPr>
        <w:pStyle w:val="HowTo"/>
      </w:pPr>
      <w:r>
        <w:t xml:space="preserve">5. Ronda de objeciones: ¿hay razón fundamentada para NO avanzar?</w:t>
      </w:r>
    </w:p>
    <w:p>
      <w:pPr>
        <w:pStyle w:val="HowTo"/>
      </w:pPr>
      <w:r>
        <w:t xml:space="preserve">6. Si hay objeción, se integra mejorando la propuesta</w:t>
      </w:r>
    </w:p>
    <w:p>
      <w:pPr>
        <w:pStyle w:val="HowTo"/>
      </w:pPr>
      <w:r>
        <w:t xml:space="preserve">7. Cuando no hay objeciones, se aprueba</w:t>
      </w:r>
    </w:p>
    <w:p>
      <w:pPr>
        <w:pStyle w:val="Tool"/>
      </w:pPr>
      <w:r>
        <w:t xml:space="preserve">→ Principio 2: Círculos</w:t>
      </w:r>
    </w:p>
    <w:p>
      <w:pPr>
        <w:spacing w:after="200"/>
      </w:pPr>
      <w:r>
        <w:t xml:space="preserve">La organización se divide en círculos con autonomía en su dominio. Cada círculo tiene propósito claro, autoridad para decidir dentro de su ámbito, y conexión con otros círculos mediante «enlaces».</w:t>
      </w:r>
    </w:p>
    <w:p>
      <w:pPr>
        <w:pStyle w:val="Tool"/>
      </w:pPr>
      <w:r>
        <w:t xml:space="preserve">→ Principio 3: Doble enlace</w:t>
      </w:r>
    </w:p>
    <w:p>
      <w:pPr>
        <w:spacing w:after="200"/>
      </w:pPr>
      <w:r>
        <w:t xml:space="preserve">Cada círculo tiene dos representantes hacia el círculo superior: el líder operativo (elegido por el círculo superior) y el delegado (elegido por el propio círculo). Información fluye en ambas direcciones.</w:t>
      </w:r>
    </w:p>
    <w:p>
      <w:pPr>
        <w:pStyle w:val="Tool"/>
      </w:pPr>
      <w:r>
        <w:t xml:space="preserve">→ Principio 4: Elecciones sin candidatos</w:t>
      </w:r>
    </w:p>
    <w:p>
      <w:pPr>
        <w:spacing w:after="400"/>
      </w:pPr>
      <w:r>
        <w:t xml:space="preserve">Para elegir roles, cada persona propone a quien cree mejor (puede ser a sí misma). Se escuchan los argumentos. Se busca consentimiento sobre quién ocupa el rol. Emerge el candidato, no compite.</w:t>
      </w:r>
    </w:p>
    <w:p>
      <w:pPr>
        <w:pStyle w:val="Heading2"/>
      </w:pPr>
      <w:r>
        <w:t xml:space="preserve">Democracia líquida</w:t>
      </w:r>
    </w:p>
    <w:p>
      <w:pPr>
        <w:spacing w:after="200"/>
      </w:pPr>
      <w:r>
        <w:t xml:space="preserve">La democracia directa es ideal pero inviable a escala: no puedes votar sobre todo. La democracia representativa es viable pero alienante: votas cada cuatro años y luego no cuentas. La democracia líquida combina ambas.</w:t>
      </w:r>
    </w:p>
    <w:p>
      <w:pPr>
        <w:pStyle w:val="HowTo"/>
      </w:pPr>
      <w:r>
        <w:t xml:space="preserve">Cómo funciona:</w:t>
      </w:r>
    </w:p>
    <w:p>
      <w:pPr>
        <w:pStyle w:val="HowTo"/>
      </w:pPr>
      <w:r>
        <w:t xml:space="preserve">— Puedes votar directamente en cualquier tema que te interese</w:t>
      </w:r>
    </w:p>
    <w:p>
      <w:pPr>
        <w:pStyle w:val="HowTo"/>
      </w:pPr>
      <w:r>
        <w:t xml:space="preserve">— Puedes delegar tu voto en alguien de confianza (por tema o globalmente)</w:t>
      </w:r>
    </w:p>
    <w:p>
      <w:pPr>
        <w:pStyle w:val="HowTo"/>
      </w:pPr>
      <w:r>
        <w:t xml:space="preserve">— Puedes recuperar tu delegación en cualquier momento</w:t>
      </w:r>
    </w:p>
    <w:p>
      <w:pPr>
        <w:pStyle w:val="HowTo"/>
      </w:pPr>
      <w:r>
        <w:t xml:space="preserve">— Las delegaciones son transitivas: si A delega en B y B delega en C, el voto de A va a C</w:t>
      </w:r>
    </w:p>
    <w:p>
      <w:pPr>
        <w:pStyle w:val="Tool"/>
      </w:pPr>
      <w:r>
        <w:t xml:space="preserve">→ Plataformas: Decidim, LiquidFeedback, Loomio</w:t>
      </w:r>
    </w:p>
    <w:p>
      <w:pPr>
        <w:spacing w:after="200"/>
      </w:pPr>
      <w:r>
        <w:rPr>
          <w:b/>
          <w:bCs/>
        </w:rPr>
        <w:t xml:space="preserve">Decidim</w:t>
      </w:r>
      <w:r>
        <w:t xml:space="preserve"> (Barcelona): plataforma de participación ciudadana usada por ciudades de todo el mundo. Código abierto, modular, multilingüe.</w:t>
      </w:r>
    </w:p>
    <w:p>
      <w:pPr>
        <w:spacing w:after="200"/>
      </w:pPr>
      <w:r>
        <w:rPr>
          <w:b/>
          <w:bCs/>
        </w:rPr>
        <w:t xml:space="preserve">LiquidFeedback</w:t>
      </w:r>
      <w:r>
        <w:t xml:space="preserve"> (Alemania): implementación pura de democracia líquida, usada por el Partido Pirata.</w:t>
      </w:r>
    </w:p>
    <w:p>
      <w:pPr>
        <w:spacing w:after="400"/>
      </w:pPr>
      <w:r>
        <w:rPr>
          <w:b/>
          <w:bCs/>
        </w:rPr>
        <w:t xml:space="preserve">Loomio</w:t>
      </w:r>
      <w:r>
        <w:t xml:space="preserve"> (Nueva Zelanda): herramienta de decisión colectiva para grupos. Simple, elegante, efectiva.</w:t>
      </w:r>
    </w:p>
    <w:p>
      <w:pPr>
        <w:pStyle w:val="Heading2"/>
      </w:pPr>
      <w:r>
        <w:t xml:space="preserve">Asambleas ciudadanas</w:t>
      </w:r>
    </w:p>
    <w:p>
      <w:pPr>
        <w:spacing w:after="200"/>
      </w:pPr>
      <w:r>
        <w:t xml:space="preserve">Las asambleas ciudadanas son grupos de personas seleccionadas al azar (como un jurado) que deliberan sobre un tema durante semanas o meses, reciben información de expertos diversos, y producen recomendaciones.</w:t>
      </w:r>
    </w:p>
    <w:p>
      <w:pPr>
        <w:spacing w:after="200"/>
      </w:pPr>
      <w:r>
        <w:t xml:space="preserve">¿Por qué funcionan? Porque la gente normal, cuando tiene tiempo e información de calidad, toma decisiones sorprendentemente buenas. Mejores que los políticos, que están capturados por intereses, ciclos electorales y polarización.</w:t>
      </w:r>
    </w:p>
    <w:p>
      <w:pPr>
        <w:pStyle w:val="Case"/>
      </w:pPr>
      <w:r>
        <w:t xml:space="preserve">Irlanda usó asambleas ciudadanas para decidir sobre matrimonio igualitario y aborto — temas que los políticos no se atrevían a tocar. El resultado: recomendaciones progresistas que luego pasaron referéndum. La ciudadanía era más madura que sus representantes.</w:t>
      </w:r>
    </w:p>
    <w:p>
      <w:pPr>
        <w:pStyle w:val="HowTo"/>
      </w:pPr>
      <w:r>
        <w:t xml:space="preserve">Ingredientes de una asamblea ciudadana:</w:t>
      </w:r>
    </w:p>
    <w:p>
      <w:pPr>
        <w:pStyle w:val="HowTo"/>
      </w:pPr>
      <w:r>
        <w:t xml:space="preserve">— Selección aleatoria estratificada (representativa de la población)</w:t>
      </w:r>
    </w:p>
    <w:p>
      <w:pPr>
        <w:pStyle w:val="HowTo"/>
      </w:pPr>
      <w:r>
        <w:t xml:space="preserve">— Información equilibrada de múltiples perspectivas</w:t>
      </w:r>
    </w:p>
    <w:p>
      <w:pPr>
        <w:pStyle w:val="HowTo"/>
      </w:pPr>
      <w:r>
        <w:t xml:space="preserve">— Facilitación profesional de calidad</w:t>
      </w:r>
    </w:p>
    <w:p>
      <w:pPr>
        <w:pStyle w:val="HowTo"/>
      </w:pPr>
      <w:r>
        <w:t xml:space="preserve">— Tiempo suficiente (mínimo varios fines de semana)</w:t>
      </w:r>
    </w:p>
    <w:p>
      <w:pPr>
        <w:pStyle w:val="HowTo"/>
      </w:pPr>
      <w:r>
        <w:t xml:space="preserve">— Compromiso de que las recomendaciones serán consideradas seriamente</w:t>
      </w:r>
    </w:p>
    <w:p>
      <w:pPr>
        <w:pStyle w:val="Heading2"/>
      </w:pPr>
      <w:r>
        <w:t xml:space="preserve">Presupuestos participativos</w:t>
      </w:r>
    </w:p>
    <w:p>
      <w:pPr>
        <w:spacing w:after="200"/>
      </w:pPr>
      <w:r>
        <w:t xml:space="preserve">Los presupuestos participativos permiten a la ciudadanía decidir directamente cómo gastar parte del presupuesto público.</w:t>
      </w:r>
    </w:p>
    <w:p>
      <w:pPr>
        <w:spacing w:after="200"/>
      </w:pPr>
      <w:r>
        <w:t xml:space="preserve">Nacieron en Porto Alegre (Brasil) en 1989. Se expandieron por miles de ciudades. Resultados típicos: mejor distribución hacia barrios pobres, mayor satisfacción ciudadana, menos corrupción.</w:t>
      </w:r>
    </w:p>
    <w:p>
      <w:pPr>
        <w:pStyle w:val="HowTo"/>
      </w:pPr>
      <w:r>
        <w:t xml:space="preserve">Proceso típico:</w:t>
      </w:r>
    </w:p>
    <w:p>
      <w:pPr>
        <w:pStyle w:val="HowTo"/>
      </w:pPr>
      <w:r>
        <w:t xml:space="preserve">1. El ayuntamiento destina X% del presupuesto a participación</w:t>
      </w:r>
    </w:p>
    <w:p>
      <w:pPr>
        <w:pStyle w:val="HowTo"/>
      </w:pPr>
      <w:r>
        <w:t xml:space="preserve">2. Los vecinos proponen proyectos</w:t>
      </w:r>
    </w:p>
    <w:p>
      <w:pPr>
        <w:pStyle w:val="HowTo"/>
      </w:pPr>
      <w:r>
        <w:t xml:space="preserve">3. Se evalúa viabilidad técnica</w:t>
      </w:r>
    </w:p>
    <w:p>
      <w:pPr>
        <w:pStyle w:val="HowTo"/>
      </w:pPr>
      <w:r>
        <w:t xml:space="preserve">4. La ciudadanía vota qué proyectos financiar</w:t>
      </w:r>
    </w:p>
    <w:p>
      <w:pPr>
        <w:pStyle w:val="HowTo"/>
      </w:pPr>
      <w:r>
        <w:t xml:space="preserve">5. Se ejecutan y se rinde cuentas</w:t>
      </w:r>
    </w:p>
    <w:p>
      <w:pPr>
        <w:spacing w:after="400"/>
      </w:pPr>
      <w:r>
        <w:t xml:space="preserve">Limitación común: porcentajes pequeños del presupuesto, proyectos de bajo impacto. Para que funcione de verdad, hay que darle dientes.</w:t>
      </w:r>
    </w:p>
    <w:p>
      <w:r>
        <w:br w:type="page"/>
      </w:r>
    </w:p>
    <w:p>
      <w:pPr>
        <w:pStyle w:val="Heading1"/>
      </w:pPr>
      <w:r>
        <w:t xml:space="preserve">Capítulo 11</w:t>
      </w:r>
    </w:p>
    <w:p>
      <w:pPr>
        <w:pStyle w:val="Heading1"/>
      </w:pPr>
      <w:r>
        <w:t xml:space="preserve">Herramientas digitales</w:t>
      </w:r>
    </w:p>
    <w:p>
      <w:pPr>
        <w:pStyle w:val="Epigraph"/>
      </w:pPr>
      <w:r>
        <w:t xml:space="preserve">«La tecnología amplifica lo que ya somos.</w:t>
      </w:r>
    </w:p>
    <w:p>
      <w:pPr>
        <w:pStyle w:val="Epigraph"/>
      </w:pPr>
      <w:r>
        <w:t xml:space="preserve">Elijamos bien qué amplificar.»</w:t>
      </w:r>
    </w:p>
    <w:p>
      <w:pPr>
        <w:spacing w:before="400" w:after="200"/>
      </w:pPr>
      <w:r>
        <w:t xml:space="preserve">La tecnología digital no es inherentemente liberadora ni opresora. Depende de quién la diseña, quién la controla, para qué fines. Aquí presentamos herramientas diseñadas para la cooperación.</w:t>
      </w:r>
    </w:p>
    <w:p>
      <w:pPr>
        <w:pStyle w:val="Heading2"/>
      </w:pPr>
      <w:r>
        <w:t xml:space="preserve">Alternativas a las Big Tech</w:t>
      </w:r>
    </w:p>
    <w:p>
      <w:pPr>
        <w:spacing w:after="200"/>
      </w:pPr>
      <w:r>
        <w:t xml:space="preserve">Las plataformas dominantes (Google, Facebook, Amazon) extraen valor y datos. Hay alternativas éticas:</w:t>
      </w:r>
    </w:p>
    <w:p>
      <w:pPr>
        <w:pStyle w:val="Tool"/>
      </w:pPr>
      <w:r>
        <w:t xml:space="preserve">→ Búsqueda: DuckDuckGo, Ecosia</w:t>
      </w:r>
    </w:p>
    <w:p>
      <w:pPr>
        <w:spacing w:after="150"/>
      </w:pPr>
      <w:r>
        <w:t xml:space="preserve">DuckDuckGo no te rastrea. Ecosia planta árboles con sus beneficios publicitarios. Funcionan bien para la mayoría de búsquedas.</w:t>
      </w:r>
    </w:p>
    <w:p>
      <w:pPr>
        <w:pStyle w:val="Tool"/>
      </w:pPr>
      <w:r>
        <w:t xml:space="preserve">→ Email: ProtonMail, Tutanota</w:t>
      </w:r>
    </w:p>
    <w:p>
      <w:pPr>
        <w:spacing w:after="150"/>
      </w:pPr>
      <w:r>
        <w:t xml:space="preserve">Encriptado de extremo a extremo. Servidores en Suiza. Nadie lee tus correos.</w:t>
      </w:r>
    </w:p>
    <w:p>
      <w:pPr>
        <w:pStyle w:val="Tool"/>
      </w:pPr>
      <w:r>
        <w:t xml:space="preserve">→ Mensajería: Signal, Element/Matrix</w:t>
      </w:r>
    </w:p>
    <w:p>
      <w:pPr>
        <w:spacing w:after="150"/>
      </w:pPr>
      <w:r>
        <w:t xml:space="preserve">Signal: mensajería encriptada más fácil de usar. Matrix: protocolo descentralizado, tú controlas tus datos.</w:t>
      </w:r>
    </w:p>
    <w:p>
      <w:pPr>
        <w:pStyle w:val="Tool"/>
      </w:pPr>
      <w:r>
        <w:t xml:space="preserve">→ Redes sociales: Mastodon, Pixelfed</w:t>
      </w:r>
    </w:p>
    <w:p>
      <w:pPr>
        <w:spacing w:after="150"/>
      </w:pPr>
      <w:r>
        <w:t xml:space="preserve">Mastodon: como Twitter pero federado — muchos servidores independientes que se comunican. Pixelfed: lo mismo para fotos.</w:t>
      </w:r>
    </w:p>
    <w:p>
      <w:pPr>
        <w:pStyle w:val="Tool"/>
      </w:pPr>
      <w:r>
        <w:t xml:space="preserve">→ Videoconferencia: Jitsi, BigBlueButton</w:t>
      </w:r>
    </w:p>
    <w:p>
      <w:pPr>
        <w:spacing w:after="150"/>
      </w:pPr>
      <w:r>
        <w:t xml:space="preserve">Código abierto, puedes montar tu propio servidor. Sin rastreo.</w:t>
      </w:r>
    </w:p>
    <w:p>
      <w:pPr>
        <w:pStyle w:val="Tool"/>
      </w:pPr>
      <w:r>
        <w:t xml:space="preserve">→ Almacenamiento: Nextcloud</w:t>
      </w:r>
    </w:p>
    <w:p>
      <w:pPr>
        <w:spacing w:after="400"/>
      </w:pPr>
      <w:r>
        <w:t xml:space="preserve">Alternativa a Google Drive/Dropbox. Puedes autohospedarlo o usar proveedores éticos.</w:t>
      </w:r>
    </w:p>
    <w:p>
      <w:pPr>
        <w:pStyle w:val="Heading2"/>
      </w:pPr>
      <w:r>
        <w:t xml:space="preserve">Software libre para organizaciones</w:t>
      </w:r>
    </w:p>
    <w:p>
      <w:pPr>
        <w:pStyle w:val="Tool"/>
      </w:pPr>
      <w:r>
        <w:t xml:space="preserve">→ Gestión de proyectos: OpenProject, Taiga</w:t>
      </w:r>
    </w:p>
    <w:p>
      <w:pPr>
        <w:spacing w:after="150"/>
      </w:pPr>
      <w:r>
        <w:t xml:space="preserve">Alternativas a Asana/Monday. Kanban, Gantt, seguimiento de tareas. Código abierto.</w:t>
      </w:r>
    </w:p>
    <w:p>
      <w:pPr>
        <w:pStyle w:val="Tool"/>
      </w:pPr>
      <w:r>
        <w:t xml:space="preserve">→ CRM: CiviCRM, Odoo</w:t>
      </w:r>
    </w:p>
    <w:p>
      <w:pPr>
        <w:spacing w:after="150"/>
      </w:pPr>
      <w:r>
        <w:t xml:space="preserve">Gestión de relaciones con miembros, donantes, voluntarios. CiviCRM especialmente diseñado para ONGs.</w:t>
      </w:r>
    </w:p>
    <w:p>
      <w:pPr>
        <w:pStyle w:val="Tool"/>
      </w:pPr>
      <w:r>
        <w:t xml:space="preserve">→ Contabilidad: GnuCash, Odoo</w:t>
      </w:r>
    </w:p>
    <w:p>
      <w:pPr>
        <w:spacing w:after="150"/>
      </w:pPr>
      <w:r>
        <w:t xml:space="preserve">Contabilidad profesional sin pagar licencias.</w:t>
      </w:r>
    </w:p>
    <w:p>
      <w:pPr>
        <w:pStyle w:val="Tool"/>
      </w:pPr>
      <w:r>
        <w:t xml:space="preserve">→ Web y contenidos: WordPress, Ghost</w:t>
      </w:r>
    </w:p>
    <w:p>
      <w:pPr>
        <w:spacing w:after="400"/>
      </w:pPr>
      <w:r>
        <w:t xml:space="preserve">WordPress corre el 40% de la web. Ghost es más moderno y ligero. Ambos libres.</w:t>
      </w:r>
    </w:p>
    <w:p>
      <w:pPr>
        <w:pStyle w:val="Heading2"/>
      </w:pPr>
      <w:r>
        <w:t xml:space="preserve">Identidad digital y soberanía de datos</w:t>
      </w:r>
    </w:p>
    <w:p>
      <w:pPr>
        <w:spacing w:after="200"/>
      </w:pPr>
      <w:r>
        <w:t xml:space="preserve">Uno de los problemas más profundos de la web actual: no controlas tu identidad digital. Las plataformas te conocen mejor que tú mismo y comercian con ese conocimiento.</w:t>
      </w:r>
    </w:p>
    <w:p>
      <w:pPr>
        <w:pStyle w:val="Tool"/>
      </w:pPr>
      <w:r>
        <w:t xml:space="preserve">→ Identidad auto-soberana (SSI)</w:t>
      </w:r>
    </w:p>
    <w:p>
      <w:pPr>
        <w:spacing w:after="200"/>
      </w:pPr>
      <w:r>
        <w:t xml:space="preserve">Tecnologías que te permiten controlar tu propia identidad digital. Tú decides qué datos compartes, con quién, para qué. Estándares emergentes: DIDs (Decentralized Identifiers), Verifiable Credentials.</w:t>
      </w:r>
    </w:p>
    <w:p>
      <w:pPr>
        <w:pStyle w:val="CodeGenetic"/>
      </w:pPr>
      <w:r>
        <w:t xml:space="preserve">Del Código Genético — Interoperabilidad: «Identidad Unificada (SpiralIdentity) con DID descentralizado, perfiles en cada app del ecosistema, reputación (proofOfHelp, trustScore, badges). Una identidad, múltiples contextos, tú controlas.»</w:t>
      </w:r>
    </w:p>
    <w:p>
      <w:pPr>
        <w:pStyle w:val="Tool"/>
      </w:pPr>
      <w:r>
        <w:t xml:space="preserve">→ Data trusts / cooperativas de datos</w:t>
      </w:r>
    </w:p>
    <w:p>
      <w:pPr>
        <w:spacing w:after="400"/>
      </w:pPr>
      <w:r>
        <w:t xml:space="preserve">Organizaciones que gestionan datos colectivamente en beneficio de sus miembros. En vez de que cada uno negocie solo con gigantes, la cooperativa negocia colectivamente.</w:t>
      </w:r>
    </w:p>
    <w:p>
      <w:pPr>
        <w:pStyle w:val="Heading2"/>
      </w:pPr>
      <w:r>
        <w:t xml:space="preserve">El stack tecnológico alternativo</w:t>
      </w:r>
    </w:p>
    <w:p>
      <w:pPr>
        <w:spacing w:after="200"/>
      </w:pPr>
      <w:r>
        <w:t xml:space="preserve">Una organización que quiera operar con tecnología ética puede usar:</w:t>
      </w:r>
    </w:p>
    <w:p>
      <w:pPr>
        <w:spacing w:after="100"/>
        <w:ind w:left="400"/>
      </w:pPr>
      <w:r>
        <w:rPr>
          <w:b/>
          <w:bCs/>
        </w:rPr>
        <w:t xml:space="preserve">Comunicación:</w:t>
      </w:r>
      <w:r>
        <w:t xml:space="preserve"> Signal (mensajes), Element/Matrix (chat grupal), Jitsi (video)</w:t>
      </w:r>
    </w:p>
    <w:p>
      <w:pPr>
        <w:spacing w:after="100"/>
        <w:ind w:left="400"/>
      </w:pPr>
      <w:r>
        <w:rPr>
          <w:b/>
          <w:bCs/>
        </w:rPr>
        <w:t xml:space="preserve">Documentos:</w:t>
      </w:r>
      <w:r>
        <w:t xml:space="preserve"> Nextcloud + OnlyOffice/Collabora (documentos colaborativos)</w:t>
      </w:r>
    </w:p>
    <w:p>
      <w:pPr>
        <w:spacing w:after="100"/>
        <w:ind w:left="400"/>
      </w:pPr>
      <w:r>
        <w:rPr>
          <w:b/>
          <w:bCs/>
        </w:rPr>
        <w:t xml:space="preserve">Gestión:</w:t>
      </w:r>
      <w:r>
        <w:t xml:space="preserve"> OpenProject o Taiga (proyectos), CiviCRM (relaciones)</w:t>
      </w:r>
    </w:p>
    <w:p>
      <w:pPr>
        <w:spacing w:after="100"/>
        <w:ind w:left="400"/>
      </w:pPr>
      <w:r>
        <w:rPr>
          <w:b/>
          <w:bCs/>
        </w:rPr>
        <w:t xml:space="preserve">Decisiones:</w:t>
      </w:r>
      <w:r>
        <w:t xml:space="preserve"> Loomio (deliberación), Decidim (participación amplia)</w:t>
      </w:r>
    </w:p>
    <w:p>
      <w:pPr>
        <w:spacing w:after="100"/>
        <w:ind w:left="400"/>
      </w:pPr>
      <w:r>
        <w:rPr>
          <w:b/>
          <w:bCs/>
        </w:rPr>
        <w:t xml:space="preserve">Finanzas:</w:t>
      </w:r>
      <w:r>
        <w:t xml:space="preserve"> GnuCash o Odoo (contabilidad)</w:t>
      </w:r>
    </w:p>
    <w:p>
      <w:pPr>
        <w:spacing w:after="100"/>
        <w:ind w:left="400"/>
      </w:pPr>
      <w:r>
        <w:rPr>
          <w:b/>
          <w:bCs/>
        </w:rPr>
        <w:t xml:space="preserve">Web:</w:t>
      </w:r>
      <w:r>
        <w:t xml:space="preserve"> WordPress o Ghost (contenido)</w:t>
      </w:r>
    </w:p>
    <w:p>
      <w:pPr>
        <w:spacing w:after="400"/>
        <w:ind w:left="400"/>
      </w:pPr>
      <w:r>
        <w:rPr>
          <w:b/>
          <w:bCs/>
        </w:rPr>
        <w:t xml:space="preserve">Código:</w:t>
      </w:r>
      <w:r>
        <w:t xml:space="preserve"> GitLab o Codeberg (repositorios)</w:t>
      </w:r>
    </w:p>
    <w:p>
      <w:pPr>
        <w:spacing w:after="200"/>
      </w:pPr>
      <w:r>
        <w:t xml:space="preserve">Todo esto es software libre, puedes autohospedarlo o usar proveedores éticos. El coste es comparable o menor que las alternativas propietarias. La diferencia: tú controlas tus datos y no alimentas el capitalismo de vigilancia.</w:t>
      </w:r>
    </w:p>
    <w:p>
      <w:r>
        <w:br w:type="page"/>
      </w:r>
    </w:p>
    <w:p>
      <w:pPr>
        <w:pStyle w:val="Heading1"/>
      </w:pPr>
      <w:r>
        <w:t xml:space="preserve">Capítulo 12</w:t>
      </w:r>
    </w:p>
    <w:p>
      <w:pPr>
        <w:pStyle w:val="Heading1"/>
      </w:pPr>
      <w:r>
        <w:t xml:space="preserve">Herramientas relacionales</w:t>
      </w:r>
    </w:p>
    <w:p>
      <w:pPr>
        <w:pStyle w:val="Epigraph"/>
      </w:pPr>
      <w:r>
        <w:t xml:space="preserve">«La calidad de nuestra vida depende</w:t>
      </w:r>
    </w:p>
    <w:p>
      <w:pPr>
        <w:pStyle w:val="Epigraph"/>
      </w:pPr>
      <w:r>
        <w:t xml:space="preserve">de la calidad de nuestras relaciones.»</w:t>
      </w:r>
    </w:p>
    <w:p>
      <w:pPr>
        <w:spacing w:before="400" w:after="200"/>
      </w:pPr>
      <w:r>
        <w:t xml:space="preserve">Las herramientas más poderosas para la transición no son tecnológicas — son relacionales. Cómo hablamos, cómo escuchamos, cómo resolvemos conflictos.</w:t>
      </w:r>
    </w:p>
    <w:p>
      <w:pPr>
        <w:pStyle w:val="Heading2"/>
      </w:pPr>
      <w:r>
        <w:t xml:space="preserve">Comunicación No Violenta (CNV)</w:t>
      </w:r>
    </w:p>
    <w:p>
      <w:pPr>
        <w:spacing w:after="200"/>
      </w:pPr>
      <w:r>
        <w:t xml:space="preserve">La Comunicación No Violenta, desarrollada por Marshall Rosenberg, es un método para comunicar de modo que conecte en vez de separar.</w:t>
      </w:r>
    </w:p>
    <w:p>
      <w:pPr>
        <w:pStyle w:val="Tool"/>
      </w:pPr>
      <w:r>
        <w:t xml:space="preserve">→ Los cuatro componentes</w:t>
      </w:r>
    </w:p>
    <w:p>
      <w:pPr>
        <w:spacing w:after="150"/>
      </w:pPr>
      <w:r>
        <w:rPr>
          <w:b/>
          <w:bCs/>
        </w:rPr>
        <w:t xml:space="preserve">1. Observación:</w:t>
      </w:r>
      <w:r>
        <w:t xml:space="preserve"> describir lo que ocurre sin evaluar ni juzgar. «Llegaste a las 9:15» (observación) vs «Siempre llegas tarde» (juicio).</w:t>
      </w:r>
    </w:p>
    <w:p>
      <w:pPr>
        <w:spacing w:after="150"/>
      </w:pPr>
      <w:r>
        <w:rPr>
          <w:b/>
          <w:bCs/>
        </w:rPr>
        <w:t xml:space="preserve">2. Sentimiento:</w:t>
      </w:r>
      <w:r>
        <w:t xml:space="preserve"> expresar qué sientes. «Me siento frustrado» — no «Me siento ignorado» (eso es interpretación de la acción del otro, no sentimiento).</w:t>
      </w:r>
    </w:p>
    <w:p>
      <w:pPr>
        <w:spacing w:after="150"/>
      </w:pPr>
      <w:r>
        <w:rPr>
          <w:b/>
          <w:bCs/>
        </w:rPr>
        <w:t xml:space="preserve">3. Necesidad:</w:t>
      </w:r>
      <w:r>
        <w:t xml:space="preserve"> identificar qué necesidad está detrás del sentimiento. «...porque necesito confiabilidad para planificar mi día».</w:t>
      </w:r>
    </w:p>
    <w:p>
      <w:pPr>
        <w:spacing w:after="200"/>
      </w:pPr>
      <w:r>
        <w:rPr>
          <w:b/>
          <w:bCs/>
        </w:rPr>
        <w:t xml:space="preserve">4. Petición:</w:t>
      </w:r>
      <w:r>
        <w:t xml:space="preserve"> hacer una petición concreta (no exigencia). «¿Podrías avisarme si vas a llegar más de 5 minutos tarde?»</w:t>
      </w:r>
    </w:p>
    <w:p>
      <w:pPr>
        <w:pStyle w:val="HowTo"/>
      </w:pPr>
      <w:r>
        <w:t xml:space="preserve">Plantilla CNV:</w:t>
      </w:r>
    </w:p>
    <w:p>
      <w:pPr>
        <w:pStyle w:val="HowTo"/>
      </w:pPr>
      <w:r>
        <w:t xml:space="preserve">«Cuando [observación], me siento [sentimiento]</w:t>
      </w:r>
    </w:p>
    <w:p>
      <w:pPr>
        <w:pStyle w:val="HowTo"/>
      </w:pPr>
      <w:r>
        <w:t xml:space="preserve">porque necesito [necesidad].</w:t>
      </w:r>
    </w:p>
    <w:p>
      <w:pPr>
        <w:pStyle w:val="HowTo"/>
      </w:pPr>
      <w:r>
        <w:t xml:space="preserve">¿Estarías dispuesto/a a [petición]?»</w:t>
      </w:r>
    </w:p>
    <w:p>
      <w:pPr>
        <w:spacing w:after="400"/>
      </w:pPr>
      <w:r>
        <w:t xml:space="preserve">Parece simple. No lo es. Requiere práctica, especialmente la distinción entre observación y juicio, y entre sentimiento e interpretación. Pero transforma conversaciones.</w:t>
      </w:r>
    </w:p>
    <w:p>
      <w:pPr>
        <w:pStyle w:val="Heading2"/>
      </w:pPr>
      <w:r>
        <w:t xml:space="preserve">Escucha profunda</w:t>
      </w:r>
    </w:p>
    <w:p>
      <w:pPr>
        <w:spacing w:after="200"/>
      </w:pPr>
      <w:r>
        <w:t xml:space="preserve">La mayoría de las conversaciones no son escucha — son turnos para hablar mientras preparamos nuestra respuesta. La escucha profunda es diferente.</w:t>
      </w:r>
    </w:p>
    <w:p>
      <w:pPr>
        <w:pStyle w:val="HowTo"/>
      </w:pPr>
      <w:r>
        <w:t xml:space="preserve">Niveles de escucha (Otto Scharmer):</w:t>
      </w:r>
    </w:p>
    <w:p>
      <w:pPr>
        <w:pStyle w:val="HowTo"/>
      </w:pPr>
      <w:r>
        <w:t xml:space="preserve">Nivel 1 - Downloading: oigo lo que confirma lo que ya pienso</w:t>
      </w:r>
    </w:p>
    <w:p>
      <w:pPr>
        <w:pStyle w:val="HowTo"/>
      </w:pPr>
      <w:r>
        <w:t xml:space="preserve">Nivel 2 - Factual: oigo datos nuevos, información</w:t>
      </w:r>
    </w:p>
    <w:p>
      <w:pPr>
        <w:pStyle w:val="HowTo"/>
      </w:pPr>
      <w:r>
        <w:t xml:space="preserve">Nivel 3 - Empático: siento lo que el otro siente</w:t>
      </w:r>
    </w:p>
    <w:p>
      <w:pPr>
        <w:pStyle w:val="HowTo"/>
      </w:pPr>
      <w:r>
        <w:t xml:space="preserve">Nivel 4 - Generativo: escucho lo que quiere emerger a través del otro</w:t>
      </w:r>
    </w:p>
    <w:p>
      <w:pPr>
        <w:spacing w:after="200"/>
      </w:pPr>
      <w:r>
        <w:t xml:space="preserve">La escucha profunda requiere suspender el juicio, vaciar la mente, estar presente. Es práctica contemplativa aplicada a la relación.</w:t>
      </w:r>
    </w:p>
    <w:p>
      <w:pPr>
        <w:spacing w:after="400"/>
      </w:pPr>
      <w:r>
        <w:rPr>
          <w:b/>
          <w:bCs/>
        </w:rPr>
        <w:t xml:space="preserve">Consejo práctico:</w:t>
      </w:r>
      <w:r>
        <w:t xml:space="preserve"> antes de responder, parafrasea lo que escuchaste. «Lo que te oigo decir es...» Valida que entendiste antes de opinar.</w:t>
      </w:r>
    </w:p>
    <w:p>
      <w:pPr>
        <w:pStyle w:val="Heading2"/>
      </w:pPr>
      <w:r>
        <w:t xml:space="preserve">Facilitación de grupos</w:t>
      </w:r>
    </w:p>
    <w:p>
      <w:pPr>
        <w:spacing w:after="200"/>
      </w:pPr>
      <w:r>
        <w:t xml:space="preserve">Un buen facilitador hace que el grupo sea más inteligente que la suma de sus partes. Técnicas esenciales:</w:t>
      </w:r>
    </w:p>
    <w:p>
      <w:pPr>
        <w:pStyle w:val="Tool"/>
      </w:pPr>
      <w:r>
        <w:t xml:space="preserve">→ Círculo (check-in / check-out)</w:t>
      </w:r>
    </w:p>
    <w:p>
      <w:pPr>
        <w:spacing w:after="150"/>
      </w:pPr>
      <w:r>
        <w:t xml:space="preserve">Comenzar con una ronda donde cada persona habla brevemente (cómo llego, qué traigo). Terminar igual (cómo me voy, qué me llevo). Crea contenedor, iguala voces.</w:t>
      </w:r>
    </w:p>
    <w:p>
      <w:pPr>
        <w:pStyle w:val="Tool"/>
      </w:pPr>
      <w:r>
        <w:t xml:space="preserve">→ Rondas</w:t>
      </w:r>
    </w:p>
    <w:p>
      <w:pPr>
        <w:spacing w:after="150"/>
      </w:pPr>
      <w:r>
        <w:t xml:space="preserve">En vez de debate abierto (donde los más fuertes dominan), usar rondas donde cada persona habla en turno. Después pueden abrirse a diálogo libre.</w:t>
      </w:r>
    </w:p>
    <w:p>
      <w:pPr>
        <w:pStyle w:val="Tool"/>
      </w:pPr>
      <w:r>
        <w:t xml:space="preserve">→ Parking lot</w:t>
      </w:r>
    </w:p>
    <w:p>
      <w:pPr>
        <w:spacing w:after="150"/>
      </w:pPr>
      <w:r>
        <w:t xml:space="preserve">Cuando surge tema importante pero fuera de agenda, apuntarlo en el «parking lot» para tratarlo después. Mantiene foco sin perder ideas.</w:t>
      </w:r>
    </w:p>
    <w:p>
      <w:pPr>
        <w:pStyle w:val="Tool"/>
      </w:pPr>
      <w:r>
        <w:t xml:space="preserve">→ Temperatura de grupo</w:t>
      </w:r>
    </w:p>
    <w:p>
      <w:pPr>
        <w:spacing w:after="150"/>
      </w:pPr>
      <w:r>
        <w:t xml:space="preserve">Verificar regularmente cómo está el grupo: ¿energía alta o baja? ¿tensión? ¿aburrimiento? Ajustar el proceso según lo que se detecta.</w:t>
      </w:r>
    </w:p>
    <w:p>
      <w:pPr>
        <w:pStyle w:val="Tool"/>
      </w:pPr>
      <w:r>
        <w:t xml:space="preserve">→ Divergencia y convergencia</w:t>
      </w:r>
    </w:p>
    <w:p>
      <w:pPr>
        <w:spacing w:after="400"/>
      </w:pPr>
      <w:r>
        <w:t xml:space="preserve">Diseñar procesos con fases claras: primero abrir (generar ideas, escuchar perspectivas), luego cerrar (decidir, priorizar). Confundir fases genera frustración.</w:t>
      </w:r>
    </w:p>
    <w:p>
      <w:pPr>
        <w:pStyle w:val="Heading2"/>
      </w:pPr>
      <w:r>
        <w:t xml:space="preserve">Gestión de conflictos</w:t>
      </w:r>
    </w:p>
    <w:p>
      <w:pPr>
        <w:spacing w:after="200"/>
      </w:pPr>
      <w:r>
        <w:t xml:space="preserve">El conflicto no es el problema — es señal de que algo importa. El problema es cómo lo manejamos.</w:t>
      </w:r>
    </w:p>
    <w:p>
      <w:pPr>
        <w:pStyle w:val="Tool"/>
      </w:pPr>
      <w:r>
        <w:t xml:space="preserve">→ Círculos restaurativos</w:t>
      </w:r>
    </w:p>
    <w:p>
      <w:pPr>
        <w:spacing w:after="200"/>
      </w:pPr>
      <w:r>
        <w:t xml:space="preserve">Cuando hay daño, reunir a quien lo causó, quien lo sufrió, y comunidad afectada. Escuchar todas las perspectivas. Buscar qué se necesita para reparar. Acordar acciones concretas. Seguimiento.</w:t>
      </w:r>
    </w:p>
    <w:p>
      <w:pPr>
        <w:pStyle w:val="HowTo"/>
      </w:pPr>
      <w:r>
        <w:t xml:space="preserve">Preguntas del círculo restaurativo:</w:t>
      </w:r>
    </w:p>
    <w:p>
      <w:pPr>
        <w:pStyle w:val="HowTo"/>
      </w:pPr>
      <w:r>
        <w:t xml:space="preserve">— ¿Qué pasó? (cada perspectiva)</w:t>
      </w:r>
    </w:p>
    <w:p>
      <w:pPr>
        <w:pStyle w:val="HowTo"/>
      </w:pPr>
      <w:r>
        <w:t xml:space="preserve">— ¿Cómo te afectó? ¿A quién más afectó?</w:t>
      </w:r>
    </w:p>
    <w:p>
      <w:pPr>
        <w:pStyle w:val="HowTo"/>
      </w:pPr>
      <w:r>
        <w:t xml:space="preserve">— ¿Qué necesitas para que esto se resuelva?</w:t>
      </w:r>
    </w:p>
    <w:p>
      <w:pPr>
        <w:pStyle w:val="HowTo"/>
      </w:pPr>
      <w:r>
        <w:t xml:space="preserve">— ¿Qué puedes hacer para contribuir a la reparación?</w:t>
      </w:r>
    </w:p>
    <w:p>
      <w:pPr>
        <w:spacing w:after="400"/>
      </w:pPr>
      <w:r>
        <w:t xml:space="preserve">Funciona mejor que el castigo porque aborda las necesidades reales de todos los involucrados.</w:t>
      </w:r>
    </w:p>
    <w:p>
      <w:r>
        <w:br w:type="page"/>
      </w:r>
    </w:p>
    <w:p>
      <w:pPr>
        <w:pStyle w:val="Heading1"/>
      </w:pPr>
      <w:r>
        <w:t xml:space="preserve">Capítulo 13</w:t>
      </w:r>
    </w:p>
    <w:p>
      <w:pPr>
        <w:pStyle w:val="Heading1"/>
      </w:pPr>
      <w:r>
        <w:t xml:space="preserve">Herramientas interiores</w:t>
      </w:r>
    </w:p>
    <w:p>
      <w:pPr>
        <w:pStyle w:val="Epigraph"/>
      </w:pPr>
      <w:r>
        <w:t xml:space="preserve">«No podemos cambiar el mundo</w:t>
      </w:r>
    </w:p>
    <w:p>
      <w:pPr>
        <w:pStyle w:val="Epigraph"/>
      </w:pPr>
      <w:r>
        <w:t xml:space="preserve">si no nos cambiamos a nosotros mismos.»</w:t>
      </w:r>
    </w:p>
    <w:p>
      <w:pPr>
        <w:spacing w:before="400" w:after="200"/>
      </w:pPr>
      <w:r>
        <w:t xml:space="preserve">El activismo que ignora lo interior quema a las personas y reproduce patrones de dominación. Estas herramientas cuidan al cuidador.</w:t>
      </w:r>
    </w:p>
    <w:p>
      <w:pPr>
        <w:pStyle w:val="Heading2"/>
      </w:pPr>
      <w:r>
        <w:t xml:space="preserve">Prácticas contemplativas para activistas</w:t>
      </w:r>
    </w:p>
    <w:p>
      <w:pPr>
        <w:spacing w:after="200"/>
      </w:pPr>
      <w:r>
        <w:t xml:space="preserve">La meditación no es escape del mundo. Es entrenamiento para estar más presente, más consciente, más capaz de responder en vez de reaccionar.</w:t>
      </w:r>
    </w:p>
    <w:p>
      <w:pPr>
        <w:pStyle w:val="Tool"/>
      </w:pPr>
      <w:r>
        <w:t xml:space="preserve">→ Mindfulness básico</w:t>
      </w:r>
    </w:p>
    <w:p>
      <w:pPr>
        <w:pStyle w:val="HowTo"/>
      </w:pPr>
      <w:r>
        <w:t xml:space="preserve">— Siéntate cómodo, cierra los ojos</w:t>
      </w:r>
    </w:p>
    <w:p>
      <w:pPr>
        <w:pStyle w:val="HowTo"/>
      </w:pPr>
      <w:r>
        <w:t xml:space="preserve">— Lleva atención a la respiración</w:t>
      </w:r>
    </w:p>
    <w:p>
      <w:pPr>
        <w:pStyle w:val="HowTo"/>
      </w:pPr>
      <w:r>
        <w:t xml:space="preserve">— Cuando la mente divague, nota adónde fue, vuelve a la respiración</w:t>
      </w:r>
    </w:p>
    <w:p>
      <w:pPr>
        <w:pStyle w:val="HowTo"/>
      </w:pPr>
      <w:r>
        <w:t xml:space="preserve">— No hay «hacerlo bien» — el acto de volver es la práctica</w:t>
      </w:r>
    </w:p>
    <w:p>
      <w:pPr>
        <w:pStyle w:val="HowTo"/>
      </w:pPr>
      <w:r>
        <w:t xml:space="preserve">— 10-20 minutos diarios cambian la vida</w:t>
      </w:r>
    </w:p>
    <w:p>
      <w:pPr>
        <w:pStyle w:val="Tool"/>
      </w:pPr>
      <w:r>
        <w:t xml:space="preserve">→ Práctica de compasión (Metta)</w:t>
      </w:r>
    </w:p>
    <w:p>
      <w:pPr>
        <w:spacing w:after="200"/>
      </w:pPr>
      <w:r>
        <w:t xml:space="preserve">Enviar deseos de bienestar: primero a ti mismo, luego a seres queridos, luego a neutros, luego a difíciles, luego a todos los seres. Cultiva la capacidad de querer bien incluso a quien te hace daño.</w:t>
      </w:r>
    </w:p>
    <w:p>
      <w:pPr>
        <w:pStyle w:val="Tool"/>
      </w:pPr>
      <w:r>
        <w:t xml:space="preserve">→ Cuerpo como ancla</w:t>
      </w:r>
    </w:p>
    <w:p>
      <w:pPr>
        <w:spacing w:after="400"/>
      </w:pPr>
      <w:r>
        <w:t xml:space="preserve">Escaneo corporal, yoga, movimiento consciente. El cuerpo vive en el presente; la mente viaja al pasado y futuro. Habitar el cuerpo ancla en el aquí y ahora.</w:t>
      </w:r>
    </w:p>
    <w:p>
      <w:pPr>
        <w:pStyle w:val="Heading2"/>
      </w:pPr>
      <w:r>
        <w:t xml:space="preserve">Sostenibilidad del activista</w:t>
      </w:r>
    </w:p>
    <w:p>
      <w:pPr>
        <w:spacing w:after="200"/>
      </w:pPr>
      <w:r>
        <w:t xml:space="preserve">El burnout activista es epidemia silenciosa. La urgencia de los problemas lleva a sacrificio personal. Pero el mártir agotado no ayuda a nadie.</w:t>
      </w:r>
    </w:p>
    <w:p>
      <w:pPr>
        <w:pStyle w:val="Tool"/>
      </w:pPr>
      <w:r>
        <w:t xml:space="preserve">→ Principios de sostenibilidad</w:t>
      </w:r>
    </w:p>
    <w:p>
      <w:pPr>
        <w:spacing w:after="100"/>
        <w:ind w:left="400"/>
      </w:pPr>
      <w:r>
        <w:t xml:space="preserve">— Tu bienestar no es egoísmo; es condición de eficacia</w:t>
      </w:r>
    </w:p>
    <w:p>
      <w:pPr>
        <w:spacing w:after="100"/>
        <w:ind w:left="400"/>
      </w:pPr>
      <w:r>
        <w:t xml:space="preserve">— Establece límites claros (horarios, dispositivos, compromisos)</w:t>
      </w:r>
    </w:p>
    <w:p>
      <w:pPr>
        <w:spacing w:after="100"/>
        <w:ind w:left="400"/>
      </w:pPr>
      <w:r>
        <w:t xml:space="preserve">— Cultiva fuentes de alegría no vinculadas a resultados</w:t>
      </w:r>
    </w:p>
    <w:p>
      <w:pPr>
        <w:spacing w:after="100"/>
        <w:ind w:left="400"/>
      </w:pPr>
      <w:r>
        <w:t xml:space="preserve">— Mantén relaciones fuera del «movimiento»</w:t>
      </w:r>
    </w:p>
    <w:p>
      <w:pPr>
        <w:spacing w:after="200"/>
        <w:ind w:left="400"/>
      </w:pPr>
      <w:r>
        <w:t xml:space="preserve">— Acepta que no vas a salvar el mundo tú solo/a</w:t>
      </w:r>
    </w:p>
    <w:p>
      <w:pPr>
        <w:pStyle w:val="Tool"/>
      </w:pPr>
      <w:r>
        <w:t xml:space="preserve">→ Esperanza activa (Joanna Macy)</w:t>
      </w:r>
    </w:p>
    <w:p>
      <w:pPr>
        <w:spacing w:after="400"/>
      </w:pPr>
      <w:r>
        <w:t xml:space="preserve">La esperanza activa no depende de que las cosas vayan bien. Es elegir lo que quieres y trabajar por ello, independientemente de las probabilidades. No es optimismo; es compromiso.</w:t>
      </w:r>
    </w:p>
    <w:p>
      <w:pPr>
        <w:pStyle w:val="Heading2"/>
      </w:pPr>
      <w:r>
        <w:t xml:space="preserve">Shadow work: trabajar la propia sombra</w:t>
      </w:r>
    </w:p>
    <w:p>
      <w:pPr>
        <w:spacing w:after="200"/>
      </w:pPr>
      <w:r>
        <w:t xml:space="preserve">Carl Jung llamó «sombra» a las partes de nosotros que no queremos ver. Pero lo que no vemos nos controla. Los activistas que no trabajan su sombra proyectan su rabia, reproducen dominación, queman comunidades.</w:t>
      </w:r>
    </w:p>
    <w:p>
      <w:pPr>
        <w:pStyle w:val="HowTo"/>
      </w:pPr>
      <w:r>
        <w:t xml:space="preserve">Señales de sombra activa:</w:t>
      </w:r>
    </w:p>
    <w:p>
      <w:pPr>
        <w:pStyle w:val="HowTo"/>
      </w:pPr>
      <w:r>
        <w:t xml:space="preserve">— Lo que te irrita intensamente en otros suele estar en ti</w:t>
      </w:r>
    </w:p>
    <w:p>
      <w:pPr>
        <w:pStyle w:val="HowTo"/>
      </w:pPr>
      <w:r>
        <w:t xml:space="preserve">— Patrones repetitivos en relaciones y conflictos</w:t>
      </w:r>
    </w:p>
    <w:p>
      <w:pPr>
        <w:pStyle w:val="HowTo"/>
      </w:pPr>
      <w:r>
        <w:t xml:space="preserve">— Reacciones desproporcionadas a estímulos pequeños</w:t>
      </w:r>
    </w:p>
    <w:p>
      <w:pPr>
        <w:pStyle w:val="HowTo"/>
      </w:pPr>
      <w:r>
        <w:t xml:space="preserve">— Rigidez, necesidad de tener razón, incapacidad de escuchar</w:t>
      </w:r>
    </w:p>
    <w:p>
      <w:pPr>
        <w:pStyle w:val="Tool"/>
      </w:pPr>
      <w:r>
        <w:t xml:space="preserve">→ Trabajo de sombra básico</w:t>
      </w:r>
    </w:p>
    <w:p>
      <w:pPr>
        <w:spacing w:after="100"/>
        <w:ind w:left="400"/>
      </w:pPr>
      <w:r>
        <w:t xml:space="preserve">1. Nota qué te molesta intensamente en otra persona</w:t>
      </w:r>
    </w:p>
    <w:p>
      <w:pPr>
        <w:spacing w:after="100"/>
        <w:ind w:left="400"/>
      </w:pPr>
      <w:r>
        <w:t xml:space="preserve">2. Pregunta: ¿dónde hago yo algo similar?</w:t>
      </w:r>
    </w:p>
    <w:p>
      <w:pPr>
        <w:spacing w:after="100"/>
        <w:ind w:left="400"/>
      </w:pPr>
      <w:r>
        <w:t xml:space="preserve">3. En vez de negar, acepta: «Sí, también tengo eso»</w:t>
      </w:r>
    </w:p>
    <w:p>
      <w:pPr>
        <w:spacing w:after="400"/>
        <w:ind w:left="400"/>
      </w:pPr>
      <w:r>
        <w:t xml:space="preserve">4. Integra: ¿qué necesidad hay debajo? ¿Cómo expresarla sanamente?</w:t>
      </w:r>
    </w:p>
    <w:p>
      <w:pPr>
        <w:spacing w:after="200"/>
      </w:pPr>
      <w:r>
        <w:t xml:space="preserve">El trabajo de sombra es incómodo pero liberador. Lo que integras deja de controlarte.</w:t>
      </w:r>
    </w:p>
    <w:p>
      <w:r>
        <w:br w:type="page"/>
      </w:r>
    </w:p>
    <w:p>
      <w:pPr>
        <w:spacing w:before="2000"/>
      </w:pPr>
    </w:p>
    <w:p>
      <w:pPr>
        <w:jc w:val="center"/>
      </w:pPr>
      <w:r>
        <w:rPr>
          <w:color w:val="888888"/>
          <w:sz w:val="48"/>
          <w:szCs w:val="48"/>
        </w:rPr>
        <w:t xml:space="preserve">❧</w:t>
      </w:r>
    </w:p>
    <w:p>
      <w:pPr>
        <w:spacing w:before="600"/>
      </w:pPr>
    </w:p>
    <w:p>
      <w:pPr>
        <w:spacing w:after="200"/>
        <w:jc w:val="center"/>
      </w:pPr>
      <w:r>
        <w:rPr>
          <w:rFonts w:ascii="Georgia" w:cs="Georgia" w:eastAsia="Georgia" w:hAnsi="Georgia"/>
          <w:i/>
          <w:iCs/>
          <w:color w:val="555555"/>
          <w:sz w:val="28"/>
          <w:szCs w:val="28"/>
        </w:rPr>
        <w:t xml:space="preserve">Fin de la Parte III</w:t>
      </w:r>
    </w:p>
    <w:p>
      <w:pPr>
        <w:jc w:val="center"/>
      </w:pPr>
      <w:r>
        <w:rPr>
          <w:rFonts w:ascii="Georgia" w:cs="Georgia" w:eastAsia="Georgia" w:hAnsi="Georgia"/>
          <w:i/>
          <w:iCs/>
          <w:color w:val="666666"/>
          <w:sz w:val="24"/>
          <w:szCs w:val="24"/>
        </w:rPr>
        <w:t xml:space="preserve">Ahora tienes herramientas:</w:t>
      </w:r>
    </w:p>
    <w:p>
      <w:pPr>
        <w:jc w:val="center"/>
      </w:pPr>
      <w:r>
        <w:rPr>
          <w:rFonts w:ascii="Georgia" w:cs="Georgia" w:eastAsia="Georgia" w:hAnsi="Georgia"/>
          <w:i/>
          <w:iCs/>
          <w:color w:val="666666"/>
          <w:sz w:val="24"/>
          <w:szCs w:val="24"/>
        </w:rPr>
        <w:t xml:space="preserve">económicas, de gobernanza, digitales, relacionales, interiores.</w:t>
      </w:r>
    </w:p>
    <w:p>
      <w:pPr>
        <w:jc w:val="center"/>
      </w:pPr>
      <w:r>
        <w:rPr>
          <w:rFonts w:ascii="Georgia" w:cs="Georgia" w:eastAsia="Georgia" w:hAnsi="Georgia"/>
          <w:i/>
          <w:iCs/>
          <w:color w:val="666666"/>
          <w:sz w:val="24"/>
          <w:szCs w:val="24"/>
        </w:rPr>
        <w:t xml:space="preserve">El kit está listo. Falta saber dónde aplicarlo.</w:t>
      </w:r>
    </w:p>
    <w:p>
      <w:pPr>
        <w:spacing w:before="400"/>
      </w:pPr>
    </w:p>
    <w:p>
      <w:pPr>
        <w:jc w:val="center"/>
      </w:pPr>
      <w:r>
        <w:rPr>
          <w:rFonts w:ascii="Georgia" w:cs="Georgia" w:eastAsia="Georgia" w:hAnsi="Georgia"/>
          <w:color w:val="888888"/>
          <w:sz w:val="22"/>
          <w:szCs w:val="22"/>
        </w:rPr>
        <w:t xml:space="preserve">Continúa en Parte IV:</w:t>
      </w:r>
    </w:p>
    <w:p>
      <w:pPr>
        <w:jc w:val="center"/>
      </w:pPr>
      <w:r>
        <w:rPr>
          <w:rFonts w:ascii="Georgia" w:cs="Georgia" w:eastAsia="Georgia" w:hAnsi="Georgia"/>
          <w:b/>
          <w:bCs/>
          <w:color w:val="333333"/>
          <w:sz w:val="26"/>
          <w:szCs w:val="26"/>
        </w:rPr>
        <w:t xml:space="preserve">ESCALAS DE INTERVENCIÓN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20"/>
        <w:szCs w:val="20"/>
      </w:rPr>
      <w:t xml:space="preserve">— </w:t>
    </w:r>
    <w:r>
      <w:rPr>
        <w:color w:val="888888"/>
        <w:sz w:val="20"/>
        <w:szCs w:val="20"/>
      </w:rPr>
      <w:fldChar w:fldCharType="begin"/>
      <w:instrText xml:space="preserve">PAGE</w:instrText>
      <w:fldChar w:fldCharType="separate"/>
      <w:fldChar w:fldCharType="end"/>
    </w:r>
    <w:r>
      <w:rPr>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MANUAL DE TRANSICIÓN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333333"/>
      <w:sz w:val="28"/>
      <w:szCs w:val="28"/>
    </w:rPr>
  </w:style>
  <w:style w:type="paragraph" w:styleId="Heading3">
    <w:name w:val="Heading 3"/>
    <w:basedOn w:val="Normal"/>
    <w:next w:val="Normal"/>
    <w:qFormat/>
    <w:pPr>
      <w:spacing w:before="200" w:after="100"/>
      <w:outlineLvl w:val="2"/>
    </w:pPr>
    <w:rPr>
      <w:rFonts w:ascii="Georgia" w:cs="Georgia" w:eastAsia="Georgia" w:hAnsi="Georgia"/>
      <w:b/>
      <w:bCs/>
      <w:i/>
      <w:iCs/>
      <w:color w:val="444444"/>
      <w:sz w:val="24"/>
      <w:szCs w:val="24"/>
    </w:rPr>
  </w:style>
  <w:style w:type="paragraph" w:styleId="Epigraph">
    <w:name w:val="Epigraph"/>
    <w:basedOn w:val="Normal"/>
    <w:pPr>
      <w:spacing w:before="200" w:after="300"/>
      <w:jc w:val="center"/>
    </w:pPr>
    <w:rPr>
      <w:rFonts w:ascii="Georgia" w:cs="Georgia" w:eastAsia="Georgia" w:hAnsi="Georgia"/>
      <w:i/>
      <w:iCs/>
      <w:color w:val="555555"/>
      <w:sz w:val="22"/>
      <w:szCs w:val="22"/>
    </w:rPr>
  </w:style>
  <w:style w:type="paragraph" w:styleId="Tool">
    <w:name w:val="Tool"/>
    <w:basedOn w:val="Normal"/>
    <w:pPr>
      <w:spacing w:before="250" w:after="100"/>
    </w:pPr>
    <w:rPr>
      <w:rFonts w:ascii="Georgia" w:cs="Georgia" w:eastAsia="Georgia" w:hAnsi="Georgia"/>
      <w:b/>
      <w:bCs/>
      <w:color w:val="2a4a6a"/>
      <w:sz w:val="22"/>
      <w:szCs w:val="22"/>
    </w:rPr>
  </w:style>
  <w:style w:type="paragraph" w:styleId="HowTo">
    <w:name w:val="How To"/>
    <w:basedOn w:val="Normal"/>
    <w:pPr>
      <w:spacing w:before="100" w:after="100"/>
      <w:ind w:left="400"/>
    </w:pPr>
    <w:rPr>
      <w:rFonts w:ascii="Georgia" w:cs="Georgia" w:eastAsia="Georgia" w:hAnsi="Georgia"/>
      <w:color w:val="444444"/>
      <w:sz w:val="21"/>
      <w:szCs w:val="21"/>
    </w:rPr>
  </w:style>
  <w:style w:type="paragraph" w:styleId="Case">
    <w:name w:val="Case Study"/>
    <w:basedOn w:val="Normal"/>
    <w:pPr>
      <w:spacing w:before="200" w:after="200"/>
      <w:ind w:left="400" w:right="400"/>
    </w:pPr>
    <w:rPr>
      <w:rFonts w:ascii="Georgia" w:cs="Georgia" w:eastAsia="Georgia" w:hAnsi="Georgia"/>
      <w:i/>
      <w:iCs/>
      <w:color w:val="2a2a5a"/>
      <w:sz w:val="22"/>
      <w:szCs w:val="22"/>
    </w:rPr>
  </w:style>
  <w:style w:type="paragraph" w:styleId="CodeGenetic">
    <w:name w:val="Code Genetic"/>
    <w:basedOn w:val="Normal"/>
    <w:pPr>
      <w:spacing w:before="150" w:after="150"/>
      <w:ind w:left="500" w:right="500"/>
    </w:pPr>
    <w:rPr>
      <w:rFonts w:ascii="Georgia" w:cs="Georgia" w:eastAsia="Georgia" w:hAnsi="Georgia"/>
      <w:color w:val="2a5a2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2025-11-28T23:54:36.422Z</dcterms:created>
  <dcterms:modified xsi:type="dcterms:W3CDTF">2025-11-28T23:54:36.423Z</dcterms:modified>
</cp:coreProperties>
</file>

<file path=docProps/custom.xml><?xml version="1.0" encoding="utf-8"?>
<Properties xmlns="http://schemas.openxmlformats.org/officeDocument/2006/custom-properties" xmlns:vt="http://schemas.openxmlformats.org/officeDocument/2006/docPropsVTypes"/>
</file>