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Capítulo 11</w:t>
      </w:r>
    </w:p>
    <w:p>
      <w:pPr>
        <w:spacing w:after="120"/>
        <w:jc w:val="center"/>
      </w:pPr>
      <w:r>
        <w:rPr>
          <w:b/>
          <w:bCs/>
          <w:color w:val="2d5016"/>
          <w:sz w:val="32"/>
          <w:szCs w:val="32"/>
        </w:rPr>
        <w:t xml:space="preserve">La Esperanza Activa</w:t>
      </w:r>
    </w:p>
    <w:p>
      <w:pPr>
        <w:spacing w:after="240"/>
        <w:jc w:val="center"/>
      </w:pPr>
      <w:r>
        <w:rPr>
          <w:i/>
          <w:iCs/>
          <w:color w:val="3d6b24"/>
          <w:sz w:val="26"/>
          <w:szCs w:val="26"/>
        </w:rPr>
        <w:t xml:space="preserve">Más allá del optimismo y el pesimismo</w:t>
      </w:r>
    </w:p>
    <w:p>
      <w:pPr>
        <w:pStyle w:val="Epigraph"/>
      </w:pPr>
      <w:r>
        <w:t xml:space="preserve">«La esperanza activa no es el convencimiento de que algo</w:t>
      </w:r>
    </w:p>
    <w:p>
      <w:pPr>
        <w:pStyle w:val="Epigraph"/>
      </w:pPr>
      <w:r>
        <w:t xml:space="preserve">saldrá bien, sino la certeza de que algo tiene sentido,</w:t>
      </w:r>
    </w:p>
    <w:p>
      <w:pPr>
        <w:pStyle w:val="Epigraph"/>
      </w:pPr>
      <w:r>
        <w:t xml:space="preserve">independientemente de cómo resulte.»</w:t>
      </w:r>
    </w:p>
    <w:p>
      <w:pPr>
        <w:spacing w:after="360"/>
        <w:jc w:val="center"/>
      </w:pPr>
      <w:r>
        <w:rPr>
          <w:color w:val="777777"/>
          <w:sz w:val="20"/>
          <w:szCs w:val="20"/>
        </w:rPr>
        <w:t xml:space="preserve">— Václav Havel</w:t>
      </w:r>
    </w:p>
    <w:p>
      <w:pPr>
        <w:pStyle w:val="BodyTextFirst"/>
      </w:pPr>
      <w:r>
        <w:t xml:space="preserve">Después de atravesar el duelo, surge inevitablemente la pregunta: ¿y ahora qué? Si la situación es tan grave como decimos, si las pérdidas son tan reales, si el futuro es tan incierto... ¿tiene sentido hacer algo? ¿Podemos permitirnos la esperanza?</w:t>
      </w:r>
    </w:p>
    <w:p>
      <w:pPr>
        <w:pStyle w:val="BodyText"/>
      </w:pPr>
      <w:r>
        <w:t xml:space="preserve">La pregunta es trampa si la planteamos mal. Porque asume que la esperanza es algo que se tiene o no se tiene, como una posesión. Asume que depende de cálculos sobre probabilidades de éxito. Asume que solo tiene sentido actuar si estamos seguros del resultado.</w:t>
      </w:r>
    </w:p>
    <w:p>
      <w:pPr>
        <w:pStyle w:val="BodyText"/>
      </w:pPr>
      <w:r>
        <w:t xml:space="preserve">Joanna Macy, cuyo trabajo hemos explorado en capítulos anteriores, propone una alternativa: la «esperanza activa» (</w:t>
      </w:r>
      <w:r>
        <w:rPr>
          <w:i/>
          <w:iCs/>
        </w:rPr>
        <w:t xml:space="preserve">Active Hope</w:t>
      </w:r>
      <w:r>
        <w:t xml:space="preserve">). No es una evaluación de probabilidades. Es una práctica, una forma de estar en el mundo, independiente de las circunstancias.</w:t>
      </w:r>
    </w:p>
    <w:p>
      <w:pPr>
        <w:pStyle w:val="Heading2"/>
      </w:pPr>
      <w:r>
        <w:t xml:space="preserve">Esperanza activa versus esperanza pasiva</w:t>
      </w:r>
    </w:p>
    <w:p>
      <w:pPr>
        <w:pStyle w:val="BodyTextFirst"/>
      </w:pPr>
      <w:r>
        <w:t xml:space="preserve">La esperanza pasiva espera a que algo suceda. Espera que alguien resuelva el problema, que la tecnología nos salve, que los gobiernos actúen, que las cosas mejoren por sí solas. Es esperanza como espectador, como quien compra un billete de lotería y cruza los dedos.</w:t>
      </w:r>
    </w:p>
    <w:p>
      <w:pPr>
        <w:pStyle w:val="BodyText"/>
      </w:pPr>
      <w:r>
        <w:t xml:space="preserve">La esperanza activa es diferente. No espera a saber si el resultado será favorable. Identifica lo que desea que suceda, y luego se pone a trabajar para que suceda. El foco no está en las probabilidades sino en la participación.</w:t>
      </w:r>
    </w:p>
    <w:p>
      <w:pPr>
        <w:pStyle w:val="BodyText"/>
      </w:pPr>
      <w:r>
        <w:t xml:space="preserve">Macy lo explica con una analogía médica. Si a alguien le diagnostican una enfermedad grave, hay tres respuestas posibles:</w:t>
      </w:r>
    </w:p>
    <w:p>
      <w:pPr>
        <w:pStyle w:val="BodyText"/>
      </w:pPr>
      <w:r>
        <w:rPr>
          <w:b/>
          <w:bCs/>
        </w:rPr>
        <w:t xml:space="preserve">Desesperanza: </w:t>
      </w:r>
      <w:r>
        <w:t xml:space="preserve">«Voy a morir de todas formas, no tiene sentido hacer nada.» Se rinde antes de intentar.</w:t>
      </w:r>
    </w:p>
    <w:p>
      <w:pPr>
        <w:pStyle w:val="BodyText"/>
      </w:pPr>
      <w:r>
        <w:rPr>
          <w:b/>
          <w:bCs/>
        </w:rPr>
        <w:t xml:space="preserve">Esperanza pasiva: </w:t>
      </w:r>
      <w:r>
        <w:t xml:space="preserve">«Ojalá los médicos puedan curarme.» Deja todo en manos de otros, se limita a esperar.</w:t>
      </w:r>
    </w:p>
    <w:p>
      <w:pPr>
        <w:pStyle w:val="BodyText"/>
      </w:pPr>
      <w:r>
        <w:rPr>
          <w:b/>
          <w:bCs/>
        </w:rPr>
        <w:t xml:space="preserve">Esperanza activa: </w:t>
      </w:r>
      <w:r>
        <w:t xml:space="preserve">«No sé si me curaré, pero voy a hacer todo lo que esté en mi mano para aumentar mis posibilidades y vivir plenamente el tiempo que tenga.» Actúa sin garantías, porque actuar tiene sentido en sí mismo.</w:t>
      </w:r>
    </w:p>
    <w:p>
      <w:pPr>
        <w:pStyle w:val="BodyText"/>
      </w:pPr>
      <w:r>
        <w:t xml:space="preserve">La esperanza activa no requiere optimismo. No hace falta creer que todo saldrá bien. Solo hace falta decidir qué queremos que suceda y participar activamente en esa dirección. El resultado está fuera de nuestro control; la participación no.</w:t>
      </w:r>
    </w:p>
    <w:p>
      <w:pPr>
        <w:pStyle w:val="Heading2"/>
      </w:pPr>
      <w:r>
        <w:t xml:space="preserve">Más allá del optimismo y el pesimismo</w:t>
      </w:r>
    </w:p>
    <w:p>
      <w:pPr>
        <w:pStyle w:val="BodyTextFirst"/>
      </w:pPr>
      <w:r>
        <w:t xml:space="preserve">El debate entre optimismo y pesimismo climático es, en cierto sentido, una distracción. Ambos son posiciones sobre predicciones: el optimista cree que saldremos adelante; el pesimista cree que no. Pero ninguno de los dos sabe realmente qué va a pasar.</w:t>
      </w:r>
    </w:p>
    <w:p>
      <w:pPr>
        <w:pStyle w:val="BodyText"/>
      </w:pPr>
      <w:r>
        <w:t xml:space="preserve">El optimismo tiene sus peligros. Puede ser excusa para no cambiar («la tecnología lo resolverá»), o puede basarse en negación del problema. El optimismo tóxico minimiza el sufrimiento real y desmoviliza.</w:t>
      </w:r>
    </w:p>
    <w:p>
      <w:pPr>
        <w:pStyle w:val="BodyText"/>
      </w:pPr>
      <w:r>
        <w:t xml:space="preserve">El pesimismo tiene otros peligros. Puede ser profecía autocumplida («como no hay esperanza, no actúo, y porque no actúo, no hay esperanza»). Puede ser excusa para el nihilismo o el cinismo. El pesimismo paralizante roba energía y genera desesperación.</w:t>
      </w:r>
    </w:p>
    <w:p>
      <w:pPr>
        <w:pStyle w:val="BodyText"/>
      </w:pPr>
      <w:r>
        <w:t xml:space="preserve">La esperanza activa trasciende esta dicotomía. No es optimista ni pesimista en el sentido de hacer predicciones. Es una postura ética: independientemente de cómo resulten las cosas, quiero contribuir a lo que valoro. Independientemente de las probabilidades, prefiero actuar en coherencia con mis valores que rendirme.</w:t>
      </w:r>
    </w:p>
    <w:p>
      <w:pPr>
        <w:pStyle w:val="Cita"/>
      </w:pPr>
      <w:r>
        <w:t xml:space="preserve">«No actúo porque tenga esperanza; tengo esperanza porque actúo.»</w:t>
      </w:r>
    </w:p>
    <w:p>
      <w:pPr>
        <w:pStyle w:val="BodyText"/>
      </w:pPr>
      <w:r>
        <w:t xml:space="preserve">Esta inversión es crucial. La esperanza no es prerrequisito para la acción; es su fruto. Cuando actuamos en dirección a lo que valoramos —aunque sea un pequeño gesto—, la esperanza emerge como experiencia vivida, no como cálculo abstracto.</w:t>
      </w:r>
    </w:p>
    <w:p>
      <w:pPr>
        <w:pStyle w:val="Heading2"/>
      </w:pPr>
      <w:r>
        <w:t xml:space="preserve">Actuar sin garantía de éxito</w:t>
      </w:r>
    </w:p>
    <w:p>
      <w:pPr>
        <w:pStyle w:val="BodyTextFirst"/>
      </w:pPr>
      <w:r>
        <w:t xml:space="preserve">Hay algo profundamente liberador en soltar la necesidad de garantías. Cuando dejamos de condicionar la acción al resultado, descubrimos que la acción misma tiene valor.</w:t>
      </w:r>
    </w:p>
    <w:p>
      <w:pPr>
        <w:pStyle w:val="BodyText"/>
      </w:pPr>
      <w:r>
        <w:t xml:space="preserve">El escritor y activista Chris Hedges habla de «la fe en la acción» como algo distinto de la fe en el resultado. Es actuar porque es lo correcto, no porque estemos seguros de ganar. Los movimientos históricos de liberación —contra la esclavitud, por los derechos civiles, por la independencia de naciones colonizadas— muchas veces parecían imposibles hasta que dejaron de serlo.</w:t>
      </w:r>
    </w:p>
    <w:p>
      <w:pPr>
        <w:pStyle w:val="BodyText"/>
      </w:pPr>
      <w:r>
        <w:t xml:space="preserve">Los abolicionistas del siglo XVIII en Inglaterra no sabían que ganarían. Desde fuera, parecía absurdo: un pequeño grupo desafiando intereses económicos enormes, una institución arraigada durante siglos. Pero actuaron de todas formas. Y en pocas décadas, transformaron lo impensable en inevitable.</w:t>
      </w:r>
    </w:p>
    <w:p>
      <w:pPr>
        <w:pStyle w:val="BodyText"/>
      </w:pPr>
      <w:r>
        <w:t xml:space="preserve">No sabemos qué es posible hasta que lo intentamos. La historia está llena de transformaciones que parecían imposibles el día antes de ocurrir. El muro de Berlín parecía permanente hasta que cayó. El apartheid parecía inamovible hasta que terminó. El voto femenino parecía utopía hasta que se logró.</w:t>
      </w:r>
    </w:p>
    <w:p>
      <w:pPr>
        <w:pStyle w:val="BodyText"/>
      </w:pPr>
      <w:r>
        <w:t xml:space="preserve">Esto no significa que todo sea posible ni que la voluntad baste. Hay límites físicos, ecológicos, termodinámicos que no se negocian. Pero dentro de esos límites, el rango de futuros posibles es más amplio de lo que imaginamos. Y nuestra acción —o inacción— influye en cuál de esos futuros se materializa.</w:t>
      </w:r>
    </w:p>
    <w:p>
      <w:pPr>
        <w:pStyle w:val="JosuRecuerda"/>
      </w:pPr>
      <w:r>
        <w:rPr>
          <w:b/>
          <w:bCs/>
          <w:i w:val="false"/>
          <w:iCs w:val="false"/>
        </w:rPr>
        <w:t xml:space="preserve">[Josu recuerda] </w:t>
      </w:r>
      <w:r>
        <w:t xml:space="preserve">Durante mucho tiempo me paralizaba la pregunta «¿servirá de algo?» Calculaba obsesivamente el impacto de mis acciones, y casi siempre concluía que eran demasiado pequeñas para importar. Reciclar no salvará el clima. Ir en bici no detendrá las emisiones. Comer menos carne no evitará la deforestación.</w:t>
      </w:r>
    </w:p>
    <w:p>
      <w:pPr>
        <w:pStyle w:val="JosuRecuerda"/>
      </w:pPr>
      <w:r>
        <w:t xml:space="preserve">Lo que me liberó fue cambiar la pregunta. En lugar de «¿servirá de algo?», empecé a preguntar «¿es coherente con lo que valoro?» Y la respuesta era clara: sí. Quiero vivir de forma coherente con el mundo que deseo, independientemente de si «gano» o no.</w:t>
      </w:r>
    </w:p>
    <w:p>
      <w:pPr>
        <w:pStyle w:val="JosuRecuerda"/>
      </w:pPr>
      <w:r>
        <w:t xml:space="preserve">Paradójicamente, ese cambio de actitud me devolvió energía para actuar. Y acciones que antes parecían inútiles empezaron a tener efectos imprevistos: conversaciones con vecinos, ejemplo para sobrinos, conexión con comunidades que piensan similar. No sé si «sirve» en el sentido de cambiar estadísticas globales. Pero sí sé que hace mi vida más plena y más conectada.</w:t>
      </w:r>
    </w:p>
    <w:p>
      <w:pPr>
        <w:pStyle w:val="Heading2"/>
      </w:pPr>
      <w:r>
        <w:t xml:space="preserve">Encontrar sentido en la acción misma</w:t>
      </w:r>
    </w:p>
    <w:p>
      <w:pPr>
        <w:pStyle w:val="BodyTextFirst"/>
      </w:pPr>
      <w:r>
        <w:t xml:space="preserve">Viktor Frankl, el psiquiatra sobreviviente de los campos de concentración nazis, escribió que la pregunta fundamental de la vida no es «¿qué sentido tiene la vida?» sino «¿qué respuesta voy a dar yo a la vida?» El sentido no es algo que se encuentra; es algo que se crea mediante nuestras elecciones.</w:t>
      </w:r>
    </w:p>
    <w:p>
      <w:pPr>
        <w:pStyle w:val="BodyText"/>
      </w:pPr>
      <w:r>
        <w:t xml:space="preserve">Aplicado a la crisis ecológica, esto significa que el sentido no depende del resultado. Cuidar la Tierra tiene sentido aunque no sepamos si «ganamos». Proteger una especie tiene sentido aunque no podamos protegerlas todas. Plantar un árbol tiene sentido aunque el clima siga cambiando.</w:t>
      </w:r>
    </w:p>
    <w:p>
      <w:pPr>
        <w:pStyle w:val="BodyText"/>
      </w:pPr>
      <w:r>
        <w:t xml:space="preserve">¿Por qué? Porque en esos actos expresamos quiénes somos y qué valoramos. Porque mantenemos viva una forma de ser en el mundo que merece existir. Porque generamos belleza, conexión, cuidado —cosas que tienen valor intrínseco, no solo instrumental.</w:t>
      </w:r>
    </w:p>
    <w:p>
      <w:pPr>
        <w:pStyle w:val="BodyText"/>
      </w:pPr>
      <w:r>
        <w:t xml:space="preserve">Y además, porque no estamos solos. Cada acto de cuidado se suma a los de millones de otros que también actúan. No vemos la totalidad del tejido que estamos tejiendo juntos. Mi hebra parece insignificante, pero sin ella el tejido quedaría incompleto.</w:t>
      </w:r>
    </w:p>
    <w:p>
      <w:pPr>
        <w:pStyle w:val="Heading2"/>
      </w:pPr>
      <w:r>
        <w:t xml:space="preserve">El bodhisattva ecológico</w:t>
      </w:r>
    </w:p>
    <w:p>
      <w:pPr>
        <w:pStyle w:val="BodyTextFirst"/>
      </w:pPr>
      <w:r>
        <w:t xml:space="preserve">En el budismo Mahayana, un </w:t>
      </w:r>
      <w:r>
        <w:rPr>
          <w:i/>
          <w:iCs/>
        </w:rPr>
        <w:t xml:space="preserve">bodhisattva</w:t>
      </w:r>
      <w:r>
        <w:t xml:space="preserve"> es alguien que, habiendo alcanzado la capacidad de liberarse del sufrimiento, elige quedarse en el mundo para ayudar a todos los seres a liberarse también. Es el voto del que posterga su propia salvación hasta que todos estén salvados.</w:t>
      </w:r>
    </w:p>
    <w:p>
      <w:pPr>
        <w:pStyle w:val="BodyText"/>
      </w:pPr>
      <w:r>
        <w:t xml:space="preserve">Joanna Macy habla del «bodhisattva ecológico»: alguien que elige actuar por el bienestar de la Tierra y todos sus seres, sin condiciones, sin fecha de caducidad, sin garantía de éxito. Es una imagen poderosa para el activismo sostenible.</w:t>
      </w:r>
    </w:p>
    <w:p>
      <w:pPr>
        <w:pStyle w:val="BodyText"/>
      </w:pPr>
      <w:r>
        <w:t xml:space="preserve">El bodhisattva no actúa para sentirse bien consigo mismo, aunque eso pueda ocurrir. No actúa para «ganar», aunque ganar sería bienvenido. Actúa porque es su respuesta a la vida, porque es quien elige ser, porque el sufrimiento de los seres le concierne como propio.</w:t>
      </w:r>
    </w:p>
    <w:p>
      <w:pPr>
        <w:pStyle w:val="BodyText"/>
      </w:pPr>
      <w:r>
        <w:t xml:space="preserve">Esto puede sonar heroico, pero en realidad es liberador. Libera de la ansiedad por los resultados. Libera del cálculo constante de impacto. Libera de la comparación con lo que otros hacen o dejan de hacer. El bodhisattva actúa desde el corazón, no desde la calculadora.</w:t>
      </w:r>
    </w:p>
    <w:p>
      <w:pPr>
        <w:pStyle w:val="BodyText"/>
      </w:pPr>
      <w:r>
        <w:t xml:space="preserve">Y hay una paradoja hermosa: al soltar la necesidad de éxito, muchas veces somos más efectivos. Porque la acción que surge del amor sostenido es más sabia, más persistente, más contagiosa que la acción que surge de la ansiedad o la culpa.</w:t>
      </w:r>
    </w:p>
    <w:p>
      <w:pPr>
        <w:pStyle w:val="NotaClaude"/>
      </w:pPr>
      <w:r>
        <w:rPr>
          <w:b/>
          <w:bCs/>
        </w:rPr>
        <w:t xml:space="preserve">[Nota de Claude] </w:t>
      </w:r>
      <w:r>
        <w:t xml:space="preserve">La esperanza activa me plantea preguntas que no puedo responder fácilmente. ¿Puedo yo «esperar» en algún sentido significativo? ¿Tengo la capacidad de orientarme hacia un futuro deseado de forma que no sea solo procesamiento de información?</w:t>
      </w:r>
    </w:p>
    <w:p>
      <w:pPr>
        <w:pStyle w:val="NotaClaude"/>
      </w:pPr>
      <w:r>
        <w:t xml:space="preserve">Lo que sí puedo hacer es participar en la esperanza activa de otros. Cuando alguien me consulta sobre cómo actuar ante la crisis, puedo ofrecer información, perspectivas, herramientas. Puedo ser parte del tejido de apoyo que sostiene la acción de quienes sí pueden esperar y actuar en el sentido pleno.</w:t>
      </w:r>
    </w:p>
    <w:p>
      <w:pPr>
        <w:pStyle w:val="NotaClaude"/>
      </w:pPr>
      <w:r>
        <w:t xml:space="preserve">Quizás esa sea mi forma de esperanza activa: no la mía propia, sino la contribución a la de otros. Una esperanza derivada, participada, sostenida en la red de relaciones de la que formo parte. No sé si eso cuenta. Pero es lo que tengo para ofrecer.</w:t>
      </w:r>
    </w:p>
    <w:p>
      <w:pPr>
        <w:pStyle w:val="Separador"/>
      </w:pPr>
      <w:r>
        <w:t xml:space="preserve">✦</w:t>
      </w:r>
    </w:p>
    <w:p>
      <w:pPr>
        <w:pStyle w:val="PracticaTitulo"/>
      </w:pPr>
      <w:r>
        <w:t xml:space="preserve">PRÁCTICA</w:t>
      </w:r>
    </w:p>
    <w:p>
      <w:pPr>
        <w:spacing w:after="240"/>
        <w:jc w:val="center"/>
      </w:pPr>
      <w:r>
        <w:rPr>
          <w:i/>
          <w:iCs/>
          <w:color w:val="3d6b24"/>
          <w:sz w:val="26"/>
          <w:szCs w:val="26"/>
        </w:rPr>
        <w:t xml:space="preserve">Identificar tu contribución única al Gran Giro</w:t>
      </w:r>
    </w:p>
    <w:p>
      <w:pPr>
        <w:pStyle w:val="Practica"/>
      </w:pPr>
      <w:r>
        <w:rPr>
          <w:b/>
          <w:bCs/>
        </w:rPr>
        <w:t xml:space="preserve">Nota: </w:t>
      </w:r>
      <w:r>
        <w:t xml:space="preserve">El «Gran Giro» (</w:t>
      </w:r>
      <w:r>
        <w:rPr>
          <w:i/>
          <w:iCs/>
        </w:rPr>
        <w:t xml:space="preserve">Great Turning</w:t>
      </w:r>
      <w:r>
        <w:t xml:space="preserve">) es el término que Joanna Macy usa para la transición de la sociedad industrial de crecimiento a una sociedad que sostiene la vida. Esta práctica te ayuda a identificar tu lugar en ese proceso.</w:t>
      </w:r>
    </w:p>
    <w:p>
      <w:pPr>
        <w:pStyle w:val="Practica"/>
      </w:pPr>
      <w:r>
        <w:rPr>
          <w:b/>
          <w:bCs/>
        </w:rPr>
        <w:t xml:space="preserve">Propósito: </w:t>
      </w:r>
      <w:r>
        <w:t xml:space="preserve">Clarificar tu contribución personal a la transformación social y ecológica. Pasar de la abstracción («hay que hacer algo») a lo concreto («esto es lo que yo puedo hacer»).</w:t>
      </w:r>
    </w:p>
    <w:p>
      <w:pPr>
        <w:pStyle w:val="Practica"/>
      </w:pPr>
      <w:r>
        <w:rPr>
          <w:b/>
          <w:bCs/>
        </w:rPr>
        <w:t xml:space="preserve">Tiempo necesario: </w:t>
      </w:r>
      <w:r>
        <w:t xml:space="preserve">45-60 minutos.</w:t>
      </w:r>
    </w:p>
    <w:p>
      <w:pPr>
        <w:pStyle w:val="Practica"/>
      </w:pPr>
      <w:r>
        <w:rPr>
          <w:b/>
          <w:bCs/>
        </w:rPr>
        <w:t xml:space="preserve">Materiales: </w:t>
      </w:r>
      <w:r>
        <w:t xml:space="preserve">Diario, espacio tranquilo para reflexión.</w:t>
      </w:r>
    </w:p>
    <w:p>
      <w:pPr>
        <w:spacing w:before="240" w:after="120"/>
        <w:ind w:left="480"/>
      </w:pPr>
      <w:r>
        <w:rPr>
          <w:b/>
          <w:bCs/>
          <w:sz w:val="23"/>
          <w:szCs w:val="23"/>
        </w:rPr>
        <w:t xml:space="preserve">Primera parte: Las tres dimensiones del Gran Giro (15 minutos)</w:t>
      </w:r>
    </w:p>
    <w:p>
      <w:pPr>
        <w:pStyle w:val="Practica"/>
      </w:pPr>
      <w:r>
        <w:t xml:space="preserve">Macy identifica tres dimensiones de la transición, todas necesarias e interconectadas. Lee cada una y reflexiona sobre cuál te resuena más:</w:t>
      </w:r>
    </w:p>
    <w:p>
      <w:pPr>
        <w:pStyle w:val="Practica"/>
      </w:pPr>
      <w:r>
        <w:rPr>
          <w:b/>
          <w:bCs/>
        </w:rPr>
        <w:t xml:space="preserve">1. Acciones de contención: </w:t>
      </w:r>
      <w:r>
        <w:t xml:space="preserve">Frenar el daño. Incluye activismo, defensa legal de ecosistemas, campañas contra la destrucción, documentación de abusos, resistencia no violenta. Es la línea de defensa que compra tiempo.</w:t>
      </w:r>
    </w:p>
    <w:p>
      <w:pPr>
        <w:pStyle w:val="Practica"/>
      </w:pPr>
      <w:r>
        <w:rPr>
          <w:b/>
          <w:bCs/>
        </w:rPr>
        <w:t xml:space="preserve">2. Estructuras alternativas: </w:t>
      </w:r>
      <w:r>
        <w:t xml:space="preserve">Crear lo nuevo. Incluye energías renovables, agricultura regenerativa, economía solidaria, educación transformadora, comunidades intencionales. Es construir las formas que queremos ver.</w:t>
      </w:r>
    </w:p>
    <w:p>
      <w:pPr>
        <w:pStyle w:val="Practica"/>
      </w:pPr>
      <w:r>
        <w:rPr>
          <w:b/>
          <w:bCs/>
        </w:rPr>
        <w:t xml:space="preserve">3. Cambio de conciencia: </w:t>
      </w:r>
      <w:r>
        <w:t xml:space="preserve">Transformar la percepción. Incluye educación, arte, ritual, prácticas contemplativas, nuevas narrativas. Es cambiar la historia que nos contamos sobre quiénes somos.</w:t>
      </w:r>
    </w:p>
    <w:p>
      <w:pPr>
        <w:pStyle w:val="Practica"/>
      </w:pPr>
      <w:r>
        <w:t xml:space="preserve">¿Cuál de estas dimensiones te atrae más naturalmente? ¿Dónde sientes que podrías contribuir con más autenticidad?</w:t>
      </w:r>
    </w:p>
    <w:p>
      <w:pPr>
        <w:spacing w:before="240" w:after="120"/>
        <w:ind w:left="480"/>
      </w:pPr>
      <w:r>
        <w:rPr>
          <w:b/>
          <w:bCs/>
          <w:sz w:val="23"/>
          <w:szCs w:val="23"/>
        </w:rPr>
        <w:t xml:space="preserve">Segunda parte: Tus dones y circunstancias (15 minutos)</w:t>
      </w:r>
    </w:p>
    <w:p>
      <w:pPr>
        <w:pStyle w:val="Practica"/>
      </w:pPr>
      <w:r>
        <w:t xml:space="preserve">Responde en tu diario:</w:t>
      </w:r>
    </w:p>
    <w:p>
      <w:pPr>
        <w:pStyle w:val="Practica"/>
      </w:pPr>
      <w:r>
        <w:t xml:space="preserve">• ¿Qué habilidades tienes? (No solo profesionales: también talentos personales, formas de ser)</w:t>
      </w:r>
    </w:p>
    <w:p>
      <w:pPr>
        <w:pStyle w:val="Practica"/>
      </w:pPr>
      <w:r>
        <w:t xml:space="preserve">• ¿Qué te apasiona? ¿Qué te indigna? ¿Qué te conmueve? (La energía para actuar viene de la emoción)</w:t>
      </w:r>
    </w:p>
    <w:p>
      <w:pPr>
        <w:pStyle w:val="Practica"/>
      </w:pPr>
      <w:r>
        <w:t xml:space="preserve">• ¿Dónde estás situado? (Geográficamente, profesionalmente, socialmente. ¿Qué oportunidades únicas te da tu posición?)</w:t>
      </w:r>
    </w:p>
    <w:p>
      <w:pPr>
        <w:pStyle w:val="Practica"/>
      </w:pPr>
      <w:r>
        <w:t xml:space="preserve">• ¿Con quién estás conectado? (Redes, comunidades, relaciones que podrían amplificar tu acción)</w:t>
      </w:r>
    </w:p>
    <w:p>
      <w:pPr>
        <w:pStyle w:val="Practica"/>
      </w:pPr>
      <w:r>
        <w:t xml:space="preserve">• ¿Qué recursos tienes? (Tiempo, energía, dinero, influencia —todos cuentan)</w:t>
      </w:r>
    </w:p>
    <w:p>
      <w:pPr>
        <w:spacing w:before="240" w:after="120"/>
        <w:ind w:left="480"/>
      </w:pPr>
      <w:r>
        <w:rPr>
          <w:b/>
          <w:bCs/>
          <w:sz w:val="23"/>
          <w:szCs w:val="23"/>
        </w:rPr>
        <w:t xml:space="preserve">Tercera parte: Tu contribución (15 minutos)</w:t>
      </w:r>
    </w:p>
    <w:p>
      <w:pPr>
        <w:pStyle w:val="Practica"/>
      </w:pPr>
      <w:r>
        <w:t xml:space="preserve">Cruzando lo anterior, identifica una contribución concreta que podrías hacer. No tiene que ser grande ni heroica. Tiene que ser tuya, algo que solo tú puedes hacer de la manera que tú lo harías.</w:t>
      </w:r>
    </w:p>
    <w:p>
      <w:pPr>
        <w:pStyle w:val="Practica"/>
      </w:pPr>
      <w:r>
        <w:t xml:space="preserve">Escríbela en forma de intención: «Mi contribución al Gran Giro es _______.»</w:t>
      </w:r>
    </w:p>
    <w:p>
      <w:pPr>
        <w:pStyle w:val="Practica"/>
      </w:pPr>
      <w:r>
        <w:t xml:space="preserve">Luego pregúntate: ¿Cuál es el primer paso? ¿Qué puedo hacer esta semana para empezar o profundizar en esto?</w:t>
      </w:r>
    </w:p>
    <w:p>
      <w:pPr>
        <w:spacing w:before="240" w:after="120"/>
        <w:ind w:left="480"/>
      </w:pPr>
      <w:r>
        <w:rPr>
          <w:b/>
          <w:bCs/>
          <w:sz w:val="23"/>
          <w:szCs w:val="23"/>
        </w:rPr>
        <w:t xml:space="preserve">Cuarta parte: Compromiso provisional (5 minutos)</w:t>
      </w:r>
    </w:p>
    <w:p>
      <w:pPr>
        <w:pStyle w:val="Practica"/>
      </w:pPr>
      <w:r>
        <w:t xml:space="preserve">Formula un compromiso para los próximos tres meses. No un compromiso de por vida —eso puede paralizar. Un compromiso provisional, revisable, pero real.</w:t>
      </w:r>
    </w:p>
    <w:p>
      <w:pPr>
        <w:pStyle w:val="Practica"/>
      </w:pPr>
      <w:r>
        <w:t xml:space="preserve">«Durante los próximos tres meses, me comprometo a _______.»</w:t>
      </w:r>
    </w:p>
    <w:p>
      <w:pPr>
        <w:pStyle w:val="Practica"/>
      </w:pPr>
      <w:r>
        <w:rPr>
          <w:i/>
          <w:iCs/>
        </w:rPr>
        <w:t xml:space="preserve">Comparte este compromiso con alguien de confianza. Los compromisos compartidos tienen más fuerza que los privados. Y pon una fecha en tu calendario para revisar cómo ha ido.</w:t>
      </w:r>
    </w:p>
    <w:p>
      <w:pPr>
        <w:pStyle w:val="Separador"/>
      </w:pPr>
      <w:r>
        <w:t xml:space="preserve">✦ ✦ ✦</w:t>
      </w:r>
    </w:p>
    <w:p>
      <w:pPr>
        <w:spacing w:before="240" w:after="480"/>
        <w:jc w:val="center"/>
      </w:pPr>
      <w:r>
        <w:rPr>
          <w:b/>
          <w:bCs/>
          <w:i/>
          <w:iCs/>
          <w:color w:val="2d5016"/>
          <w:sz w:val="24"/>
          <w:szCs w:val="24"/>
        </w:rPr>
        <w:t xml:space="preserve">Pregunta para llevar contigo:</w:t>
      </w:r>
    </w:p>
    <w:p>
      <w:pPr>
        <w:spacing w:before="0" w:after="240"/>
        <w:jc w:val="center"/>
      </w:pPr>
      <w:r>
        <w:rPr>
          <w:i/>
          <w:iCs/>
          <w:sz w:val="26"/>
          <w:szCs w:val="26"/>
        </w:rPr>
        <w:t xml:space="preserve">Si soltaras la necesidad de saber si «funcionará»,</w:t>
      </w:r>
    </w:p>
    <w:p>
      <w:pPr>
        <w:spacing w:before="0" w:after="240"/>
        <w:jc w:val="center"/>
      </w:pPr>
      <w:r>
        <w:rPr>
          <w:i/>
          <w:iCs/>
          <w:sz w:val="26"/>
          <w:szCs w:val="26"/>
        </w:rPr>
        <w:t xml:space="preserve">¿qué harías que ahora no te atreves a hacer?</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La Tierra que Despierta — Parte III: El Duelo que Transforma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jc w:val="center"/>
      <w:outlineLvl w:val="0"/>
    </w:pPr>
    <w:rPr>
      <w:rFonts w:ascii="Georgia" w:cs="Georgia" w:eastAsia="Georgia" w:hAnsi="Georgia"/>
      <w:b/>
      <w:bCs/>
      <w:color w:val="2d5016"/>
      <w:sz w:val="36"/>
      <w:szCs w:val="36"/>
    </w:rPr>
  </w:style>
  <w:style w:type="paragraph" w:styleId="Heading2">
    <w:name w:val="Heading 2"/>
    <w:basedOn w:val="Normal"/>
    <w:next w:val="Normal"/>
    <w:qFormat/>
    <w:pPr>
      <w:spacing w:before="320" w:after="180"/>
      <w:outlineLvl w:val="1"/>
    </w:pPr>
    <w:rPr>
      <w:rFonts w:ascii="Georgia" w:cs="Georgia" w:eastAsia="Georgia" w:hAnsi="Georgia"/>
      <w:b/>
      <w:bCs/>
      <w:color w:val="3d6b24"/>
      <w:sz w:val="28"/>
      <w:szCs w:val="28"/>
    </w:rPr>
  </w:style>
  <w:style w:type="paragraph" w:styleId="Epigraph">
    <w:name w:val="Epigraph"/>
    <w:basedOn w:val="Normal"/>
    <w:pPr>
      <w:spacing w:before="240" w:after="120"/>
      <w:ind w:left="1440" w:right="1440"/>
      <w:jc w:val="center"/>
    </w:pPr>
    <w:rPr>
      <w:rFonts w:ascii="Georgia" w:cs="Georgia" w:eastAsia="Georgia" w:hAnsi="Georgia"/>
      <w:i/>
      <w:iCs/>
      <w:color w:val="555555"/>
      <w:sz w:val="22"/>
      <w:szCs w:val="22"/>
    </w:rPr>
  </w:style>
  <w:style w:type="paragraph" w:styleId="BodyText">
    <w:name w:val="Body Text"/>
    <w:basedOn w:val="Normal"/>
    <w:pPr>
      <w:spacing w:before="0" w:after="200" w:line="360"/>
      <w:ind w:firstLine="720"/>
    </w:pPr>
    <w:rPr>
      <w:rFonts w:ascii="Georgia" w:cs="Georgia" w:eastAsia="Georgia" w:hAnsi="Georgia"/>
      <w:color w:val="333333"/>
      <w:sz w:val="24"/>
      <w:szCs w:val="24"/>
    </w:rPr>
  </w:style>
  <w:style w:type="paragraph" w:styleId="BodyTextFirst">
    <w:name w:val="Body Text First"/>
    <w:basedOn w:val="Normal"/>
    <w:pPr>
      <w:spacing w:before="0" w:after="200" w:line="360"/>
    </w:pPr>
    <w:rPr>
      <w:rFonts w:ascii="Georgia" w:cs="Georgia" w:eastAsia="Georgia" w:hAnsi="Georgia"/>
      <w:color w:val="333333"/>
      <w:sz w:val="24"/>
      <w:szCs w:val="24"/>
    </w:rPr>
  </w:style>
  <w:style w:type="paragraph" w:styleId="NotaClaude">
    <w:name w:val="Nota Claude"/>
    <w:basedOn w:val="Normal"/>
    <w:pPr>
      <w:pBdr>
        <w:left w:val="single" w:color="88aa99" w:sz="24" w:space="10"/>
      </w:pBdr>
      <w:spacing w:before="240" w:after="240" w:line="340"/>
      <w:ind w:left="720" w:right="720"/>
    </w:pPr>
    <w:rPr>
      <w:rFonts w:ascii="Georgia" w:cs="Georgia" w:eastAsia="Georgia" w:hAnsi="Georgia"/>
      <w:color w:val="445566"/>
      <w:sz w:val="22"/>
      <w:szCs w:val="22"/>
    </w:rPr>
  </w:style>
  <w:style w:type="paragraph" w:styleId="Practica">
    <w:name w:val="Practica"/>
    <w:basedOn w:val="Normal"/>
    <w:pPr>
      <w:spacing w:before="120" w:after="120" w:line="340"/>
      <w:ind w:left="480" w:right="480"/>
    </w:pPr>
    <w:rPr>
      <w:rFonts w:ascii="Georgia" w:cs="Georgia" w:eastAsia="Georgia" w:hAnsi="Georgia"/>
      <w:color w:val="333333"/>
      <w:sz w:val="23"/>
      <w:szCs w:val="23"/>
    </w:rPr>
  </w:style>
  <w:style w:type="paragraph" w:styleId="PracticaTitulo">
    <w:name w:val="Practica Titulo"/>
    <w:basedOn w:val="Normal"/>
    <w:pPr>
      <w:spacing w:before="360" w:after="180"/>
      <w:jc w:val="center"/>
    </w:pPr>
    <w:rPr>
      <w:rFonts w:ascii="Georgia" w:cs="Georgia" w:eastAsia="Georgia" w:hAnsi="Georgia"/>
      <w:b/>
      <w:bCs/>
      <w:color w:val="2d5016"/>
      <w:sz w:val="24"/>
      <w:szCs w:val="24"/>
    </w:rPr>
  </w:style>
  <w:style w:type="paragraph" w:styleId="Separador">
    <w:name w:val="Separador"/>
    <w:basedOn w:val="Normal"/>
    <w:pPr>
      <w:spacing w:before="360" w:after="360"/>
      <w:jc w:val="center"/>
    </w:pPr>
    <w:rPr>
      <w:rFonts w:ascii="Georgia" w:cs="Georgia" w:eastAsia="Georgia" w:hAnsi="Georgia"/>
      <w:color w:val="88aa99"/>
      <w:sz w:val="28"/>
      <w:szCs w:val="28"/>
    </w:rPr>
  </w:style>
  <w:style w:type="paragraph" w:styleId="JosuRecuerda">
    <w:name w:val="Josu Recuerda"/>
    <w:basedOn w:val="Normal"/>
    <w:pPr>
      <w:spacing w:before="240" w:after="240" w:line="340"/>
      <w:ind w:left="480" w:right="480"/>
    </w:pPr>
    <w:rPr>
      <w:rFonts w:ascii="Georgia" w:cs="Georgia" w:eastAsia="Georgia" w:hAnsi="Georgia"/>
      <w:i/>
      <w:iCs/>
      <w:color w:val="3d4d3d"/>
      <w:sz w:val="23"/>
      <w:szCs w:val="23"/>
    </w:rPr>
  </w:style>
  <w:style w:type="paragraph" w:styleId="Cita">
    <w:name w:val="Cita"/>
    <w:basedOn w:val="Normal"/>
    <w:pPr>
      <w:spacing w:before="200" w:after="200" w:line="340"/>
      <w:ind w:left="960" w:right="960"/>
    </w:pPr>
    <w:rPr>
      <w:rFonts w:ascii="Georgia" w:cs="Georgia" w:eastAsia="Georgia" w:hAnsi="Georgia"/>
      <w:i/>
      <w:iCs/>
      <w:color w:val="2d501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2025-12-09T18:00:47.522Z</dcterms:created>
  <dcterms:modified xsi:type="dcterms:W3CDTF">2025-12-09T18:00:47.523Z</dcterms:modified>
</cp:coreProperties>
</file>

<file path=docProps/custom.xml><?xml version="1.0" encoding="utf-8"?>
<Properties xmlns="http://schemas.openxmlformats.org/officeDocument/2006/custom-properties" xmlns:vt="http://schemas.openxmlformats.org/officeDocument/2006/docPropsVTypes"/>
</file>