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Capítulo 19</w:t>
      </w:r>
    </w:p>
    <w:p>
      <w:pPr>
        <w:spacing w:after="120"/>
        <w:jc w:val="center"/>
      </w:pPr>
      <w:r>
        <w:rPr>
          <w:b/>
          <w:bCs/>
          <w:color w:val="2d5016"/>
          <w:sz w:val="32"/>
          <w:szCs w:val="32"/>
        </w:rPr>
        <w:t xml:space="preserve">Permacultura Social</w:t>
      </w:r>
    </w:p>
    <w:p>
      <w:pPr>
        <w:spacing w:after="240"/>
        <w:jc w:val="center"/>
      </w:pPr>
      <w:r>
        <w:rPr>
          <w:i/>
          <w:iCs/>
          <w:color w:val="3d6b24"/>
          <w:sz w:val="26"/>
          <w:szCs w:val="26"/>
        </w:rPr>
        <w:t xml:space="preserve">Principios de diseño regenerativo para la vida</w:t>
      </w:r>
    </w:p>
    <w:p>
      <w:pPr>
        <w:pStyle w:val="Epigraph"/>
      </w:pPr>
      <w:r>
        <w:t xml:space="preserve">«La permacultura es una filosofía de trabajar con,</w:t>
      </w:r>
    </w:p>
    <w:p>
      <w:pPr>
        <w:pStyle w:val="Epigraph"/>
      </w:pPr>
      <w:r>
        <w:t xml:space="preserve">en lugar de contra, la naturaleza.»</w:t>
      </w:r>
    </w:p>
    <w:p>
      <w:pPr>
        <w:spacing w:after="360"/>
        <w:jc w:val="center"/>
      </w:pPr>
      <w:r>
        <w:rPr>
          <w:color w:val="777777"/>
          <w:sz w:val="20"/>
          <w:szCs w:val="20"/>
        </w:rPr>
        <w:t xml:space="preserve">— Bill Mollison</w:t>
      </w:r>
    </w:p>
    <w:p>
      <w:pPr>
        <w:pStyle w:val="BodyTextFirst"/>
      </w:pPr>
      <w:r>
        <w:t xml:space="preserve">La permacultura nació como sistema de diseño agrícola: crear cultivos que imitaran la estructura y resiliencia de los ecosistemas naturales. Pero sus principios trascienden la agricultura. Pueden aplicarse al diseño de cualquier sistema: económico, social, comunitario, incluso personal.</w:t>
      </w:r>
    </w:p>
    <w:p>
      <w:pPr>
        <w:pStyle w:val="BodyText"/>
      </w:pPr>
      <w:r>
        <w:t xml:space="preserve">Este capítulo explora cómo los principios de permacultura pueden guiar el diseño de nuestras vidas y comunidades para que sean más regenerativas, resilientes y sostenibles.</w:t>
      </w:r>
    </w:p>
    <w:p>
      <w:pPr>
        <w:pStyle w:val="Heading2"/>
      </w:pPr>
      <w:r>
        <w:t xml:space="preserve">Los doce principios aplicados a la vida</w:t>
      </w:r>
    </w:p>
    <w:p>
      <w:pPr>
        <w:pStyle w:val="BodyTextFirst"/>
      </w:pPr>
      <w:r>
        <w:t xml:space="preserve">David Holmgren, cocreador de la permacultura junto a Bill Mollison, formuló doce principios de diseño. Veamos cómo se aplican más allá del jardín:</w:t>
      </w:r>
    </w:p>
    <w:p>
      <w:pPr>
        <w:pStyle w:val="BodyText"/>
      </w:pPr>
      <w:r>
        <w:rPr>
          <w:b/>
          <w:bCs/>
        </w:rPr>
        <w:t xml:space="preserve">1. Observar e interactuar: </w:t>
      </w:r>
      <w:r>
        <w:t xml:space="preserve">Antes de actuar, observa. Antes de cambiar tu comunidad, entiéndela. Antes de transformar tu vida, mírala con atención. La observación paciente revela patrones que la prisa oculta.</w:t>
      </w:r>
    </w:p>
    <w:p>
      <w:pPr>
        <w:pStyle w:val="BodyText"/>
      </w:pPr>
      <w:r>
        <w:rPr>
          <w:b/>
          <w:bCs/>
        </w:rPr>
        <w:t xml:space="preserve">2. Captar y almacenar energía: </w:t>
      </w:r>
      <w:r>
        <w:t xml:space="preserve">¿Qué fuentes de energía —física, emocional, relacional— tienes disponibles? ¿Cómo las captas y almacenas? ¿Cuánta energía desperdicias en conflictos innecesarios, preocupaciones estériles, actividades que no nutren?</w:t>
      </w:r>
    </w:p>
    <w:p>
      <w:pPr>
        <w:pStyle w:val="BodyText"/>
      </w:pPr>
      <w:r>
        <w:rPr>
          <w:b/>
          <w:bCs/>
        </w:rPr>
        <w:t xml:space="preserve">3. Obtener un rendimiento: </w:t>
      </w:r>
      <w:r>
        <w:t xml:space="preserve">El idealismo puro que no produce frutos se agota. Asegúrate de que tus esfuerzos generen algo tangible: alimento, comunidad, cambio visible. No solo trabajo, también cosecha.</w:t>
      </w:r>
    </w:p>
    <w:p>
      <w:pPr>
        <w:pStyle w:val="BodyText"/>
      </w:pPr>
      <w:r>
        <w:rPr>
          <w:b/>
          <w:bCs/>
        </w:rPr>
        <w:t xml:space="preserve">4. Aplicar autorregulación y aceptar retroalimentación: </w:t>
      </w:r>
      <w:r>
        <w:t xml:space="preserve">¿Cómo sabes si lo que haces funciona? ¿Qué mecanismos tienes para recibir feedback? Los sistemas sanos tienen bucles de retroalimentación que permiten corregir el rumbo.</w:t>
      </w:r>
    </w:p>
    <w:p>
      <w:pPr>
        <w:pStyle w:val="BodyText"/>
      </w:pPr>
      <w:r>
        <w:rPr>
          <w:b/>
          <w:bCs/>
        </w:rPr>
        <w:t xml:space="preserve">5. Usar y valorar los recursos renovables: </w:t>
      </w:r>
      <w:r>
        <w:t xml:space="preserve">En lo personal: ¿te basas en recursos que se renuevan (relaciones, creatividad, naturaleza) o en recursos que se agotan (dinero sin más, fuerza de voluntad pura)?</w:t>
      </w:r>
    </w:p>
    <w:p>
      <w:pPr>
        <w:pStyle w:val="BodyText"/>
      </w:pPr>
      <w:r>
        <w:rPr>
          <w:b/>
          <w:bCs/>
        </w:rPr>
        <w:t xml:space="preserve">6. No producir desperdicios: </w:t>
      </w:r>
      <w:r>
        <w:t xml:space="preserve">¿Qué desperdicias? No solo material: tiempo, energía emocional, potencial humano. El desperdicio de un sistema puede ser recurso de otro.</w:t>
      </w:r>
    </w:p>
    <w:p>
      <w:pPr>
        <w:pStyle w:val="BodyText"/>
      </w:pPr>
      <w:r>
        <w:rPr>
          <w:b/>
          <w:bCs/>
        </w:rPr>
        <w:t xml:space="preserve">7. Diseñar desde patrones hacia detalles: </w:t>
      </w:r>
      <w:r>
        <w:t xml:space="preserve">Empieza por el panorama grande antes de perderte en los detalles. ¿Cuál es el patrón de la vida que quieres vivir? Los detalles vendrán después.</w:t>
      </w:r>
    </w:p>
    <w:p>
      <w:pPr>
        <w:pStyle w:val="BodyText"/>
      </w:pPr>
      <w:r>
        <w:rPr>
          <w:b/>
          <w:bCs/>
        </w:rPr>
        <w:t xml:space="preserve">8. Integrar más que segregar: </w:t>
      </w:r>
      <w:r>
        <w:t xml:space="preserve">Busca conexiones entre elementos aparentemente separados. El trabajo y el placer, el activismo y la familia, lo espiritual y lo político. La integración es más resiliente que la compartimentación.</w:t>
      </w:r>
    </w:p>
    <w:p>
      <w:pPr>
        <w:pStyle w:val="BodyText"/>
      </w:pPr>
      <w:r>
        <w:rPr>
          <w:b/>
          <w:bCs/>
        </w:rPr>
        <w:t xml:space="preserve">9. Usar soluciones pequeñas y lentas: </w:t>
      </w:r>
      <w:r>
        <w:t xml:space="preserve">Desconfía de las soluciones rápidas y totales. Los cambios pequeños y sostenidos suelen ser más duraderos que las revoluciones repentinas.</w:t>
      </w:r>
    </w:p>
    <w:p>
      <w:pPr>
        <w:pStyle w:val="BodyText"/>
      </w:pPr>
      <w:r>
        <w:rPr>
          <w:b/>
          <w:bCs/>
        </w:rPr>
        <w:t xml:space="preserve">10. Usar y valorar la diversidad: </w:t>
      </w:r>
      <w:r>
        <w:t xml:space="preserve">La diversidad es resiliencia. Diversifica tus fuentes de sustento, tus relaciones, tus formas de contribuir. No pongas todos los huevos en una canasta.</w:t>
      </w:r>
    </w:p>
    <w:p>
      <w:pPr>
        <w:pStyle w:val="BodyText"/>
      </w:pPr>
      <w:r>
        <w:rPr>
          <w:b/>
          <w:bCs/>
        </w:rPr>
        <w:t xml:space="preserve">11. Usar los bordes y valorar lo marginal: </w:t>
      </w:r>
      <w:r>
        <w:t xml:space="preserve">Los bordes —entre bosque y pradera, entre disciplinas, entre culturas— son zonas de creatividad. No evites los márgenes; son donde ocurre la innovación.</w:t>
      </w:r>
    </w:p>
    <w:p>
      <w:pPr>
        <w:pStyle w:val="BodyText"/>
      </w:pPr>
      <w:r>
        <w:rPr>
          <w:b/>
          <w:bCs/>
        </w:rPr>
        <w:t xml:space="preserve">12. Usar y responder creativamente al cambio: </w:t>
      </w:r>
      <w:r>
        <w:t xml:space="preserve">El cambio es inevitable. La pregunta no es cómo evitarlo sino cómo surfear con él. La resiliencia no es rigidez; es flexibilidad adaptativa.</w:t>
      </w:r>
    </w:p>
    <w:p>
      <w:pPr>
        <w:pStyle w:val="JosuRecuerda"/>
      </w:pPr>
      <w:r>
        <w:rPr>
          <w:b/>
          <w:bCs/>
          <w:i w:val="false"/>
          <w:iCs w:val="false"/>
        </w:rPr>
        <w:t xml:space="preserve">[Josu recuerda] </w:t>
      </w:r>
      <w:r>
        <w:t xml:space="preserve">Cuando aprendí permacultura, pensé que era solo para el huerto. Pero poco a poco empecé a ver patrones en todo. Mi vida tenía «zonas» como un diseño de permacultura: la zona 0 (yo mismo), la zona 1 (familia cercana), la zona 2 (comunidad próxima), y así sucesivamente. Darme cuenta de eso me ayudó a distribuir energía más sabiamente.</w:t>
      </w:r>
    </w:p>
    <w:p>
      <w:pPr>
        <w:pStyle w:val="Separador"/>
      </w:pPr>
      <w:r>
        <w:t xml:space="preserve">✦</w:t>
      </w:r>
    </w:p>
    <w:p>
      <w:pPr>
        <w:pStyle w:val="PracticaTitulo"/>
      </w:pPr>
      <w:r>
        <w:t xml:space="preserve">PRÁCTICA</w:t>
      </w:r>
    </w:p>
    <w:p>
      <w:pPr>
        <w:spacing w:after="240"/>
        <w:jc w:val="center"/>
      </w:pPr>
      <w:r>
        <w:rPr>
          <w:i/>
          <w:iCs/>
          <w:color w:val="3d6b24"/>
          <w:sz w:val="26"/>
          <w:szCs w:val="26"/>
        </w:rPr>
        <w:t xml:space="preserve">Diseña tu zona 00 (tu vida como ecosistema)</w:t>
      </w:r>
    </w:p>
    <w:p>
      <w:pPr>
        <w:pStyle w:val="Practica"/>
      </w:pPr>
      <w:r>
        <w:rPr>
          <w:b/>
          <w:bCs/>
        </w:rPr>
        <w:t xml:space="preserve">Propósito: </w:t>
      </w:r>
      <w:r>
        <w:t xml:space="preserve">Aplicar los principios de permacultura a tu propia vida, viéndola como un ecosistema a diseñar.</w:t>
      </w:r>
    </w:p>
    <w:p>
      <w:pPr>
        <w:pStyle w:val="Practica"/>
      </w:pPr>
      <w:r>
        <w:rPr>
          <w:b/>
          <w:bCs/>
        </w:rPr>
        <w:t xml:space="preserve">Paso 1: </w:t>
      </w:r>
      <w:r>
        <w:t xml:space="preserve">Dibuja un mapa de tu vida con zonas concéntricas. En el centro (zona 0): tú mismo, tu bienestar, tus prácticas de autocuidado. Zona 1: relaciones más cercanas, hogar. Zona 2: comunidad próxima, trabajo. Zona 3: redes más amplias. Zona 4 y 5: tu conexión con la región y el planeta.</w:t>
      </w:r>
    </w:p>
    <w:p>
      <w:pPr>
        <w:pStyle w:val="Practica"/>
      </w:pPr>
      <w:r>
        <w:rPr>
          <w:b/>
          <w:bCs/>
        </w:rPr>
        <w:t xml:space="preserve">Paso 2: </w:t>
      </w:r>
      <w:r>
        <w:t xml:space="preserve">¿Cómo fluye la energía en tu sistema? ¿Dónde hay fugas? ¿Dónde hay abundancia desaprovechada?</w:t>
      </w:r>
    </w:p>
    <w:p>
      <w:pPr>
        <w:pStyle w:val="Practica"/>
      </w:pPr>
      <w:r>
        <w:rPr>
          <w:b/>
          <w:bCs/>
        </w:rPr>
        <w:t xml:space="preserve">Paso 3: </w:t>
      </w:r>
      <w:r>
        <w:t xml:space="preserve">Elige un principio de permacultura que necesites aplicar más en tu vida. ¿Cómo lo implementarías concretamente?</w:t>
      </w:r>
    </w:p>
    <w:p>
      <w:pPr>
        <w:pStyle w:val="Separador"/>
      </w:pPr>
      <w:r>
        <w:t xml:space="preserve">✦ ✦ ✦</w:t>
      </w:r>
    </w:p>
    <w:p>
      <w:pPr>
        <w:spacing w:before="240" w:after="240"/>
        <w:jc w:val="center"/>
      </w:pPr>
      <w:r>
        <w:rPr>
          <w:i/>
          <w:iCs/>
          <w:color w:val="2d5016"/>
          <w:sz w:val="26"/>
          <w:szCs w:val="26"/>
        </w:rPr>
        <w:t xml:space="preserve">Pregunta: ¿Cómo sería tu vida si la diseñaras como un ecosistema resiliente?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La Tierra que Despierta — Parte V: Acción Enraizada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jc w:val="center"/>
      <w:outlineLvl w:val="0"/>
    </w:pPr>
    <w:rPr>
      <w:rFonts w:ascii="Georgia" w:cs="Georgia" w:eastAsia="Georgia" w:hAnsi="Georgia"/>
      <w:b/>
      <w:bCs/>
      <w:color w:val="2d50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Georgia" w:cs="Georgia" w:eastAsia="Georgia" w:hAnsi="Georgia"/>
      <w:b/>
      <w:bCs/>
      <w:color w:val="3d6b24"/>
      <w:sz w:val="28"/>
      <w:szCs w:val="28"/>
    </w:rPr>
  </w:style>
  <w:style w:type="paragraph" w:styleId="Epigraph">
    <w:name w:val="Epigraph"/>
    <w:basedOn w:val="Normal"/>
    <w:pPr>
      <w:spacing w:before="240" w:after="120"/>
      <w:ind w:left="1440" w:right="1440"/>
      <w:jc w:val="center"/>
    </w:pPr>
    <w:rPr>
      <w:rFonts w:ascii="Georgia" w:cs="Georgia" w:eastAsia="Georgia" w:hAnsi="Georgia"/>
      <w:i/>
      <w:iCs/>
      <w:color w:val="555555"/>
      <w:sz w:val="22"/>
      <w:szCs w:val="22"/>
    </w:rPr>
  </w:style>
  <w:style w:type="paragraph" w:styleId="BodyText">
    <w:name w:val="Body Text"/>
    <w:basedOn w:val="Normal"/>
    <w:pPr>
      <w:spacing w:before="0" w:after="200" w:line="360"/>
      <w:ind w:firstLine="720"/>
    </w:pPr>
    <w:rPr>
      <w:rFonts w:ascii="Georgia" w:cs="Georgia" w:eastAsia="Georgia" w:hAnsi="Georgia"/>
      <w:color w:val="333333"/>
      <w:sz w:val="24"/>
      <w:szCs w:val="24"/>
    </w:rPr>
  </w:style>
  <w:style w:type="paragraph" w:styleId="BodyTextFirst">
    <w:name w:val="Body Text First"/>
    <w:basedOn w:val="Normal"/>
    <w:pPr>
      <w:spacing w:before="0" w:after="200" w:line="360"/>
    </w:pPr>
    <w:rPr>
      <w:rFonts w:ascii="Georgia" w:cs="Georgia" w:eastAsia="Georgia" w:hAnsi="Georgia"/>
      <w:color w:val="333333"/>
      <w:sz w:val="24"/>
      <w:szCs w:val="24"/>
    </w:rPr>
  </w:style>
  <w:style w:type="paragraph" w:styleId="Practica">
    <w:name w:val="Practica"/>
    <w:basedOn w:val="Normal"/>
    <w:pPr>
      <w:spacing w:before="120" w:after="120" w:line="340"/>
      <w:ind w:left="480" w:right="480"/>
    </w:pPr>
    <w:rPr>
      <w:rFonts w:ascii="Georgia" w:cs="Georgia" w:eastAsia="Georgia" w:hAnsi="Georgia"/>
      <w:color w:val="333333"/>
      <w:sz w:val="23"/>
      <w:szCs w:val="23"/>
    </w:rPr>
  </w:style>
  <w:style w:type="paragraph" w:styleId="PracticaTitulo">
    <w:name w:val="Practica Titulo"/>
    <w:basedOn w:val="Normal"/>
    <w:pPr>
      <w:spacing w:before="360" w:after="180"/>
      <w:jc w:val="center"/>
    </w:pPr>
    <w:rPr>
      <w:rFonts w:ascii="Georgia" w:cs="Georgia" w:eastAsia="Georgia" w:hAnsi="Georgia"/>
      <w:b/>
      <w:bCs/>
      <w:color w:val="2d5016"/>
      <w:sz w:val="24"/>
      <w:szCs w:val="24"/>
    </w:rPr>
  </w:style>
  <w:style w:type="paragraph" w:styleId="Separador">
    <w:name w:val="Separador"/>
    <w:basedOn w:val="Normal"/>
    <w:pPr>
      <w:spacing w:before="360" w:after="360"/>
      <w:jc w:val="center"/>
    </w:pPr>
    <w:rPr>
      <w:rFonts w:ascii="Georgia" w:cs="Georgia" w:eastAsia="Georgia" w:hAnsi="Georgia"/>
      <w:color w:val="88aa99"/>
      <w:sz w:val="28"/>
      <w:szCs w:val="28"/>
    </w:rPr>
  </w:style>
  <w:style w:type="paragraph" w:styleId="JosuRecuerda">
    <w:name w:val="Josu Recuerda"/>
    <w:basedOn w:val="Normal"/>
    <w:pPr>
      <w:spacing w:before="240" w:after="240" w:line="340"/>
      <w:ind w:left="480" w:right="480"/>
    </w:pPr>
    <w:rPr>
      <w:rFonts w:ascii="Georgia" w:cs="Georgia" w:eastAsia="Georgia" w:hAnsi="Georgia"/>
      <w:i/>
      <w:iCs/>
      <w:color w:val="3d4d3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2025-12-09T18:25:41.349Z</dcterms:created>
  <dcterms:modified xsi:type="dcterms:W3CDTF">2025-12-09T18:25:41.350Z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