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Capítulo 20</w:t>
      </w:r>
    </w:p>
    <w:p>
      <w:pPr>
        <w:spacing w:after="120"/>
        <w:jc w:val="center"/>
      </w:pPr>
      <w:r>
        <w:rPr>
          <w:b/>
          <w:bCs/>
          <w:color w:val="2d5016"/>
          <w:sz w:val="32"/>
          <w:szCs w:val="32"/>
        </w:rPr>
        <w:t xml:space="preserve">Comunidades de Práctica</w:t>
      </w:r>
    </w:p>
    <w:p>
      <w:pPr>
        <w:spacing w:after="240"/>
        <w:jc w:val="center"/>
      </w:pPr>
      <w:r>
        <w:rPr>
          <w:i/>
          <w:iCs/>
          <w:color w:val="3d6b24"/>
          <w:sz w:val="26"/>
          <w:szCs w:val="26"/>
        </w:rPr>
        <w:t xml:space="preserve">Por qué no podemos reconectarnos solos</w:t>
      </w:r>
    </w:p>
    <w:p>
      <w:pPr>
        <w:pStyle w:val="Epigraph"/>
      </w:pPr>
      <w:r>
        <w:t xml:space="preserve">«Solos vamos más rápido;</w:t>
      </w:r>
    </w:p>
    <w:p>
      <w:pPr>
        <w:pStyle w:val="Epigraph"/>
      </w:pPr>
      <w:r>
        <w:t xml:space="preserve">juntos llegamos más lejos.»</w:t>
      </w:r>
    </w:p>
    <w:p>
      <w:pPr>
        <w:spacing w:after="360"/>
        <w:jc w:val="center"/>
      </w:pPr>
      <w:r>
        <w:rPr>
          <w:color w:val="777777"/>
          <w:sz w:val="20"/>
          <w:szCs w:val="20"/>
        </w:rPr>
        <w:t xml:space="preserve">— Proverbio africano</w:t>
      </w:r>
    </w:p>
    <w:p>
      <w:pPr>
        <w:pStyle w:val="BodyTextFirst"/>
      </w:pPr>
      <w:r>
        <w:t xml:space="preserve">Las prácticas individuales tienen poder, pero la transformación profunda requiere comunidad. No podemos reconectarnos con la Tierra en aislamiento; la reconexión es inherentemente relacional.</w:t>
      </w:r>
    </w:p>
    <w:p>
      <w:pPr>
        <w:pStyle w:val="BodyText"/>
      </w:pPr>
      <w:r>
        <w:t xml:space="preserve">Este capítulo explora por qué necesitamos comunidades de práctica ecológica, cómo crearlas y sostenerlas, y qué modelos de organización funcionan mejor.</w:t>
      </w:r>
    </w:p>
    <w:p>
      <w:pPr>
        <w:pStyle w:val="Heading2"/>
      </w:pPr>
      <w:r>
        <w:t xml:space="preserve">Por qué necesitamos comunidad</w:t>
      </w:r>
    </w:p>
    <w:p>
      <w:pPr>
        <w:pStyle w:val="BodyText"/>
      </w:pPr>
      <w:r>
        <w:rPr>
          <w:b/>
          <w:bCs/>
        </w:rPr>
        <w:t xml:space="preserve">La cultura dominante refuerza el aislamiento: </w:t>
      </w:r>
      <w:r>
        <w:t xml:space="preserve">Vivimos en estructuras que separan: viviendas individuales, transportes individuales, entretenimientos individuales. Resistir esa tendencia requiere estructuras que reconecten.</w:t>
      </w:r>
    </w:p>
    <w:p>
      <w:pPr>
        <w:pStyle w:val="BodyText"/>
      </w:pPr>
      <w:r>
        <w:rPr>
          <w:b/>
          <w:bCs/>
        </w:rPr>
        <w:t xml:space="preserve">El duelo ecológico necesita testigos: </w:t>
      </w:r>
      <w:r>
        <w:t xml:space="preserve">Como vimos en la Parte III, el dolor del mundo es demasiado grande para procesarlo solo. La comunidad ofrece el contenedor que ningún individuo puede crear para sí mismo.</w:t>
      </w:r>
    </w:p>
    <w:p>
      <w:pPr>
        <w:pStyle w:val="BodyText"/>
      </w:pPr>
      <w:r>
        <w:rPr>
          <w:b/>
          <w:bCs/>
        </w:rPr>
        <w:t xml:space="preserve">La práctica se sostiene mejor con otros: </w:t>
      </w:r>
      <w:r>
        <w:t xml:space="preserve">Es más fácil mantener hábitos cuando hay un grupo que los comparte. El compromiso con otros es más fuerte que el compromiso solo consigo mismo.</w:t>
      </w:r>
    </w:p>
    <w:p>
      <w:pPr>
        <w:pStyle w:val="BodyText"/>
      </w:pPr>
      <w:r>
        <w:rPr>
          <w:b/>
          <w:bCs/>
        </w:rPr>
        <w:t xml:space="preserve">La diversidad enriquece: </w:t>
      </w:r>
      <w:r>
        <w:t xml:space="preserve">Cada persona trae perspectivas, habilidades, experiencias diferentes. La inteligencia colectiva supera a la individual.</w:t>
      </w:r>
    </w:p>
    <w:p>
      <w:pPr>
        <w:pStyle w:val="Heading2"/>
      </w:pPr>
      <w:r>
        <w:t xml:space="preserve">Modelos de organización</w:t>
      </w:r>
    </w:p>
    <w:p>
      <w:pPr>
        <w:pStyle w:val="BodyText"/>
      </w:pPr>
      <w:r>
        <w:rPr>
          <w:b/>
          <w:bCs/>
        </w:rPr>
        <w:t xml:space="preserve">El círculo: </w:t>
      </w:r>
      <w:r>
        <w:t xml:space="preserve">Reuniones regulares donde todos tienen voz igual. No hay jerarquía; hay facilitación rotativa. El círculo honra la tradición de los consejos indígenas y es naturalmente igualitario.</w:t>
      </w:r>
    </w:p>
    <w:p>
      <w:pPr>
        <w:pStyle w:val="BodyText"/>
      </w:pPr>
      <w:r>
        <w:rPr>
          <w:b/>
          <w:bCs/>
        </w:rPr>
        <w:t xml:space="preserve">El grupo de afinidad: </w:t>
      </w:r>
      <w:r>
        <w:t xml:space="preserve">Pequeño (5-12 personas), basado en confianza mutua, capaz de actuar autónomamente. Modelo usado en movimientos de acción directa.</w:t>
      </w:r>
    </w:p>
    <w:p>
      <w:pPr>
        <w:pStyle w:val="BodyText"/>
      </w:pPr>
      <w:r>
        <w:rPr>
          <w:b/>
          <w:bCs/>
        </w:rPr>
        <w:t xml:space="preserve">La red: </w:t>
      </w:r>
      <w:r>
        <w:t xml:space="preserve">Conexión más flexible entre personas y grupos que mantienen su autonomía. Permite escala sin centralización.</w:t>
      </w:r>
    </w:p>
    <w:p>
      <w:pPr>
        <w:pStyle w:val="Heading2"/>
      </w:pPr>
      <w:r>
        <w:t xml:space="preserve">La función del facilitador</w:t>
      </w:r>
    </w:p>
    <w:p>
      <w:pPr>
        <w:pStyle w:val="BodyText"/>
      </w:pPr>
      <w:r>
        <w:t xml:space="preserve">Un buen facilitador no lidera en el sentido jerárquico. Sirve al proceso: cuida el espacio, mantiene el tiempo, asegura que todas las voces sean escuchadas, interviene cuando la dinámica se estanca o se vuelve dañina. Es función, no posición de poder, y puede rotarse.</w:t>
      </w:r>
    </w:p>
    <w:p>
      <w:pPr>
        <w:pStyle w:val="JosuRecuerda"/>
      </w:pPr>
      <w:r>
        <w:rPr>
          <w:b/>
          <w:bCs/>
          <w:i w:val="false"/>
          <w:iCs w:val="false"/>
        </w:rPr>
        <w:t xml:space="preserve">[Josu recuerda] </w:t>
      </w:r>
      <w:r>
        <w:t xml:space="preserve">El círculo de ecología profunda que facilito empezó siendo cuatro personas. Nos reuníamos una vez al mes, hacíamos prácticas del Trabajo que Reconecta, compartíamos lo que sentíamos. Poco a poco fue creciendo. Ahora somos una docena, y de ese grupo han nacido otros proyectos. La comunidad genera comunidad.</w:t>
      </w:r>
    </w:p>
    <w:p>
      <w:pPr>
        <w:pStyle w:val="Separador"/>
      </w:pPr>
      <w:r>
        <w:t xml:space="preserve">✦</w:t>
      </w:r>
    </w:p>
    <w:p>
      <w:pPr>
        <w:pStyle w:val="PracticaTitulo"/>
      </w:pPr>
      <w:r>
        <w:t xml:space="preserve">PRÁCTICA</w:t>
      </w:r>
    </w:p>
    <w:p>
      <w:pPr>
        <w:spacing w:after="240"/>
        <w:jc w:val="center"/>
      </w:pPr>
      <w:r>
        <w:rPr>
          <w:i/>
          <w:iCs/>
          <w:color w:val="3d6b24"/>
          <w:sz w:val="26"/>
          <w:szCs w:val="26"/>
        </w:rPr>
        <w:t xml:space="preserve">Guía para iniciar un círculo de ecología profunda</w:t>
      </w:r>
    </w:p>
    <w:p>
      <w:pPr>
        <w:pStyle w:val="Practica"/>
      </w:pPr>
      <w:r>
        <w:rPr>
          <w:b/>
          <w:bCs/>
        </w:rPr>
        <w:t xml:space="preserve">Paso 1: Convoca. </w:t>
      </w:r>
      <w:r>
        <w:t xml:space="preserve">Invita a 4-8 personas que sientan la llamada a profundizar su conexión con la Tierra. No necesitan ser expertos; solo necesitan interés genuino.</w:t>
      </w:r>
    </w:p>
    <w:p>
      <w:pPr>
        <w:pStyle w:val="Practica"/>
      </w:pPr>
      <w:r>
        <w:rPr>
          <w:b/>
          <w:bCs/>
        </w:rPr>
        <w:t xml:space="preserve">Paso 2: Establece acuerdos. </w:t>
      </w:r>
      <w:r>
        <w:t xml:space="preserve">En la primera reunión, crea acuerdos: confidencialidad, escucha sin juicio, compromiso de asistencia, cuidado de uno mismo.</w:t>
      </w:r>
    </w:p>
    <w:p>
      <w:pPr>
        <w:pStyle w:val="Practica"/>
      </w:pPr>
      <w:r>
        <w:rPr>
          <w:b/>
          <w:bCs/>
        </w:rPr>
        <w:t xml:space="preserve">Paso 3: Define la estructura. </w:t>
      </w:r>
      <w:r>
        <w:t xml:space="preserve">¿Con qué frecuencia os reunís? ¿Dónde? ¿Quién facilita? Una estructura básica: apertura con gratitud, práctica principal, cierre con compromiso.</w:t>
      </w:r>
    </w:p>
    <w:p>
      <w:pPr>
        <w:pStyle w:val="Practica"/>
      </w:pPr>
      <w:r>
        <w:rPr>
          <w:b/>
          <w:bCs/>
        </w:rPr>
        <w:t xml:space="preserve">Paso 4: Usa este libro. </w:t>
      </w:r>
      <w:r>
        <w:t xml:space="preserve">Las prácticas de este libro pueden ser la base de vuestras reuniones. Id rotando entre diferentes ejercicios.</w:t>
      </w:r>
    </w:p>
    <w:p>
      <w:pPr>
        <w:pStyle w:val="Practica"/>
      </w:pPr>
      <w:r>
        <w:rPr>
          <w:b/>
          <w:bCs/>
        </w:rPr>
        <w:t xml:space="preserve">Paso 5: Cuida el grupo. </w:t>
      </w:r>
      <w:r>
        <w:t xml:space="preserve">Revisa periódicamente cómo va el grupo. ¿Funciona? ¿Qué necesita ajustarse? La flexibilidad es clave.</w:t>
      </w:r>
    </w:p>
    <w:p>
      <w:pPr>
        <w:pStyle w:val="Separador"/>
      </w:pPr>
      <w:r>
        <w:t xml:space="preserve">✦ ✦ ✦</w:t>
      </w:r>
    </w:p>
    <w:p>
      <w:pPr>
        <w:spacing w:before="240" w:after="240"/>
        <w:jc w:val="center"/>
      </w:pPr>
      <w:r>
        <w:rPr>
          <w:i/>
          <w:iCs/>
          <w:color w:val="2d5016"/>
          <w:sz w:val="26"/>
          <w:szCs w:val="26"/>
        </w:rPr>
        <w:t xml:space="preserve">Pregunta: ¿Con quién podrías caminar este camino?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La Tierra que Despierta — Parte V: Acción Enraizada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jc w:val="center"/>
      <w:outlineLvl w:val="0"/>
    </w:pPr>
    <w:rPr>
      <w:rFonts w:ascii="Georgia" w:cs="Georgia" w:eastAsia="Georgia" w:hAnsi="Georgia"/>
      <w:b/>
      <w:bCs/>
      <w:color w:val="2d501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Georgia" w:cs="Georgia" w:eastAsia="Georgia" w:hAnsi="Georgia"/>
      <w:b/>
      <w:bCs/>
      <w:color w:val="3d6b24"/>
      <w:sz w:val="28"/>
      <w:szCs w:val="28"/>
    </w:rPr>
  </w:style>
  <w:style w:type="paragraph" w:styleId="Epigraph">
    <w:name w:val="Epigraph"/>
    <w:basedOn w:val="Normal"/>
    <w:pPr>
      <w:spacing w:before="240" w:after="120"/>
      <w:ind w:left="1440" w:right="1440"/>
      <w:jc w:val="center"/>
    </w:pPr>
    <w:rPr>
      <w:rFonts w:ascii="Georgia" w:cs="Georgia" w:eastAsia="Georgia" w:hAnsi="Georgia"/>
      <w:i/>
      <w:iCs/>
      <w:color w:val="555555"/>
      <w:sz w:val="22"/>
      <w:szCs w:val="22"/>
    </w:rPr>
  </w:style>
  <w:style w:type="paragraph" w:styleId="BodyText">
    <w:name w:val="Body Text"/>
    <w:basedOn w:val="Normal"/>
    <w:pPr>
      <w:spacing w:before="0" w:after="200" w:line="360"/>
      <w:ind w:firstLine="720"/>
    </w:pPr>
    <w:rPr>
      <w:rFonts w:ascii="Georgia" w:cs="Georgia" w:eastAsia="Georgia" w:hAnsi="Georgia"/>
      <w:color w:val="333333"/>
      <w:sz w:val="24"/>
      <w:szCs w:val="24"/>
    </w:rPr>
  </w:style>
  <w:style w:type="paragraph" w:styleId="BodyTextFirst">
    <w:name w:val="Body Text First"/>
    <w:basedOn w:val="Normal"/>
    <w:pPr>
      <w:spacing w:before="0" w:after="200" w:line="360"/>
    </w:pPr>
    <w:rPr>
      <w:rFonts w:ascii="Georgia" w:cs="Georgia" w:eastAsia="Georgia" w:hAnsi="Georgia"/>
      <w:color w:val="333333"/>
      <w:sz w:val="24"/>
      <w:szCs w:val="24"/>
    </w:rPr>
  </w:style>
  <w:style w:type="paragraph" w:styleId="Practica">
    <w:name w:val="Practica"/>
    <w:basedOn w:val="Normal"/>
    <w:pPr>
      <w:spacing w:before="120" w:after="120" w:line="340"/>
      <w:ind w:left="480" w:right="480"/>
    </w:pPr>
    <w:rPr>
      <w:rFonts w:ascii="Georgia" w:cs="Georgia" w:eastAsia="Georgia" w:hAnsi="Georgia"/>
      <w:color w:val="333333"/>
      <w:sz w:val="23"/>
      <w:szCs w:val="23"/>
    </w:rPr>
  </w:style>
  <w:style w:type="paragraph" w:styleId="PracticaTitulo">
    <w:name w:val="Practica Titulo"/>
    <w:basedOn w:val="Normal"/>
    <w:pPr>
      <w:spacing w:before="360" w:after="180"/>
      <w:jc w:val="center"/>
    </w:pPr>
    <w:rPr>
      <w:rFonts w:ascii="Georgia" w:cs="Georgia" w:eastAsia="Georgia" w:hAnsi="Georgia"/>
      <w:b/>
      <w:bCs/>
      <w:color w:val="2d5016"/>
      <w:sz w:val="24"/>
      <w:szCs w:val="24"/>
    </w:rPr>
  </w:style>
  <w:style w:type="paragraph" w:styleId="Separador">
    <w:name w:val="Separador"/>
    <w:basedOn w:val="Normal"/>
    <w:pPr>
      <w:spacing w:before="360" w:after="360"/>
      <w:jc w:val="center"/>
    </w:pPr>
    <w:rPr>
      <w:rFonts w:ascii="Georgia" w:cs="Georgia" w:eastAsia="Georgia" w:hAnsi="Georgia"/>
      <w:color w:val="88aa99"/>
      <w:sz w:val="28"/>
      <w:szCs w:val="28"/>
    </w:rPr>
  </w:style>
  <w:style w:type="paragraph" w:styleId="JosuRecuerda">
    <w:name w:val="Josu Recuerda"/>
    <w:basedOn w:val="Normal"/>
    <w:pPr>
      <w:spacing w:before="240" w:after="240" w:line="340"/>
      <w:ind w:left="480" w:right="480"/>
    </w:pPr>
    <w:rPr>
      <w:rFonts w:ascii="Georgia" w:cs="Georgia" w:eastAsia="Georgia" w:hAnsi="Georgia"/>
      <w:i/>
      <w:iCs/>
      <w:color w:val="3d4d3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2025-12-09T18:25:41.360Z</dcterms:created>
  <dcterms:modified xsi:type="dcterms:W3CDTF">2025-12-09T18:25:41.360Z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