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PartTitle"/>
      </w:pPr>
      <w:r>
        <w:t xml:space="preserve">PARTE VI</w:t>
      </w:r>
    </w:p>
    <w:p>
      <w:pPr>
        <w:pStyle w:val="PartTitle"/>
      </w:pPr>
      <w:r>
        <w:t xml:space="preserve">PREGUNTAS ABIERTAS</w:t>
      </w:r>
    </w:p>
    <w:p>
      <w:pPr>
        <w:pStyle w:val="PartSubtitle"/>
      </w:pPr>
      <w:r>
        <w:t xml:space="preserve">«Lo que no sabemos»</w:t>
      </w:r>
    </w:p>
    <w:p>
      <w:pPr>
        <w:pStyle w:val="Separador"/>
      </w:pPr>
      <w:r>
        <w:t xml:space="preserve">✦ ✦ ✦</w:t>
      </w:r>
    </w:p>
    <w:p>
      <w:pPr>
        <w:pStyle w:val="BodyTextFirst"/>
      </w:pPr>
      <w:r>
        <w:rPr>
          <w:i/>
          <w:iCs/>
        </w:rPr>
        <w:t xml:space="preserve">Todo lo que hemos explorado tiene límites, puntos ciegos, contradicciones. Ignorarlos sería deshonesto. Esta parte final reconoce lo que no sabemos, lo que podría salir mal, las preguntas que permanecen abiertas.</w:t>
      </w:r>
    </w:p>
    <w:p>
      <w:pPr>
        <w:pStyle w:val="BodyText"/>
      </w:pPr>
      <w:r>
        <w:rPr>
          <w:i/>
          <w:iCs/>
        </w:rPr>
        <w:t xml:space="preserve">No es pesimismo; es humildad epistémica. Solo desde el reconocimiento de nuestros límites podemos actuar con la responsabilidad que la situación requiere.</w:t>
      </w:r>
    </w:p>
    <w:p>
      <w:r>
        <w:br w:type="page"/>
      </w:r>
    </w:p>
    <w:p>
      <w:pPr>
        <w:pStyle w:val="Heading1"/>
      </w:pPr>
      <w:r>
        <w:t xml:space="preserve">Capítulo 22</w:t>
      </w:r>
    </w:p>
    <w:p>
      <w:pPr>
        <w:spacing w:after="120"/>
        <w:jc w:val="center"/>
      </w:pPr>
      <w:r>
        <w:rPr>
          <w:b/>
          <w:bCs/>
          <w:color w:val="2d5016"/>
          <w:sz w:val="32"/>
          <w:szCs w:val="32"/>
        </w:rPr>
        <w:t xml:space="preserve">Los Límites de la Reconexión</w:t>
      </w:r>
    </w:p>
    <w:p>
      <w:pPr>
        <w:spacing w:after="240"/>
        <w:jc w:val="center"/>
      </w:pPr>
      <w:r>
        <w:rPr>
          <w:i/>
          <w:iCs/>
          <w:color w:val="3d6b24"/>
          <w:sz w:val="26"/>
          <w:szCs w:val="26"/>
        </w:rPr>
        <w:t xml:space="preserve">Lo que este libro no puede prometer</w:t>
      </w:r>
    </w:p>
    <w:p>
      <w:pPr>
        <w:pStyle w:val="Epigraph"/>
      </w:pPr>
      <w:r>
        <w:t xml:space="preserve">«La sabiduría comienza en el reconocimiento</w:t>
      </w:r>
    </w:p>
    <w:p>
      <w:pPr>
        <w:pStyle w:val="Epigraph"/>
      </w:pPr>
      <w:r>
        <w:t xml:space="preserve">de la propia ignorancia.»</w:t>
      </w:r>
    </w:p>
    <w:p>
      <w:pPr>
        <w:spacing w:after="360"/>
        <w:jc w:val="center"/>
      </w:pPr>
      <w:r>
        <w:rPr>
          <w:color w:val="777777"/>
          <w:sz w:val="20"/>
          <w:szCs w:val="20"/>
        </w:rPr>
        <w:t xml:space="preserve">— Sócrates</w:t>
      </w:r>
    </w:p>
    <w:p>
      <w:pPr>
        <w:pStyle w:val="BodyTextFirst"/>
      </w:pPr>
      <w:r>
        <w:t xml:space="preserve">Este libro ha presentado una visión y un camino. Pero sería irresponsable no reconocer sus límites, las preguntas que no puede responder, las contradicciones que no resuelve.</w:t>
      </w:r>
    </w:p>
    <w:p>
      <w:pPr>
        <w:pStyle w:val="Heading2"/>
      </w:pPr>
      <w:r>
        <w:t xml:space="preserve">¿Puede la humanidad urbana moderna reconectarse genuinamente?</w:t>
      </w:r>
    </w:p>
    <w:p>
      <w:pPr>
        <w:pStyle w:val="BodyTextFirst"/>
      </w:pPr>
      <w:r>
        <w:t xml:space="preserve">Más de la mitad de la humanidad vive en ciudades. La tendencia es hacia más urbanización, no menos. ¿Es posible una reconexión genuina con la Tierra desde el asfalto, los rascacielos, la vida desconectada de los ciclos naturales?</w:t>
      </w:r>
    </w:p>
    <w:p>
      <w:pPr>
        <w:pStyle w:val="BodyText"/>
      </w:pPr>
      <w:r>
        <w:t xml:space="preserve">Hay respuestas optimistas: los parques urbanos, la naturaleza que se cuela por las grietas, los huertos comunitarios. Hay prácticas que funcionan incluso en contextos urbanos.</w:t>
      </w:r>
    </w:p>
    <w:p>
      <w:pPr>
        <w:pStyle w:val="BodyText"/>
      </w:pPr>
      <w:r>
        <w:t xml:space="preserve">Pero hay también una pregunta más incómoda: ¿estas reconexiones parciales son suficientes? ¿O son sucedáneos que nos permiten sentirnos mejor sin cambiar realmente la estructura de nuestras vidas? ¿Es posible «reconectarse con la Tierra» mientras se mantiene un estilo de vida que la destruye?</w:t>
      </w:r>
    </w:p>
    <w:p>
      <w:pPr>
        <w:pStyle w:val="BodyText"/>
      </w:pPr>
      <w:r>
        <w:t xml:space="preserve">No tengo respuesta definitiva. Sospecho que la reconexión genuina eventualmente empuja hacia cambios estructurales —en cómo vivimos, trabajamos, consumimos—, pero el camino no es lineal ni garantizado.</w:t>
      </w:r>
    </w:p>
    <w:p>
      <w:pPr>
        <w:pStyle w:val="Heading2"/>
      </w:pPr>
      <w:r>
        <w:t xml:space="preserve">La tensión entre tecnología y naturaleza</w:t>
      </w:r>
    </w:p>
    <w:p>
      <w:pPr>
        <w:pStyle w:val="BodyTextFirst"/>
      </w:pPr>
      <w:r>
        <w:t xml:space="preserve">Este libro fue escrito en colaboración con una inteligencia artificial. Se leerá probablemente en dispositivos electrónicos. La contradicción es evidente: usamos tecnología que tiene huella ecológica real para hablar de reconexión con la Tierra.</w:t>
      </w:r>
    </w:p>
    <w:p>
      <w:pPr>
        <w:pStyle w:val="BodyText"/>
      </w:pPr>
      <w:r>
        <w:t xml:space="preserve">¿Es esto hipocresía? ¿O es la única forma realista de alcanzar a personas inmersas en el mundo tecnológico? ¿Puede la tecnología ser herramienta de reconexión o es inherentemente desconectadora?</w:t>
      </w:r>
    </w:p>
    <w:p>
      <w:pPr>
        <w:pStyle w:val="BodyText"/>
      </w:pPr>
      <w:r>
        <w:t xml:space="preserve">Mi posición tentativa: la tecnología no es inherentemente buena ni mala para la reconexión; depende de cómo se use. Pero la tendencia dominante del desarrollo tecnológico es hacia más abstracción, más mediación, más distancia del mundo físico. Resistir esa tendencia requiere intención consciente.</w:t>
      </w:r>
    </w:p>
    <w:p>
      <w:pPr>
        <w:pStyle w:val="Heading2"/>
      </w:pPr>
      <w:r>
        <w:t xml:space="preserve">El problema del privilegio</w:t>
      </w:r>
    </w:p>
    <w:p>
      <w:pPr>
        <w:pStyle w:val="BodyTextFirst"/>
      </w:pPr>
      <w:r>
        <w:t xml:space="preserve">Muchas de las prácticas propuestas en este libro requieren tiempo, acceso a naturaleza, cierto nivel de seguridad material. ¿Qué pasa con quienes trabajan dos empleos para sobrevivir? ¿Con quienes viven en barrios sin un árbol? ¿Con quienes no tienen el privilegio de preocuparse por la reconexión porque están ocupados sobreviviendo?</w:t>
      </w:r>
    </w:p>
    <w:p>
      <w:pPr>
        <w:pStyle w:val="BodyText"/>
      </w:pPr>
      <w:r>
        <w:t xml:space="preserve">La ecología profunda ha sido criticada —a veces con razón— por ser movimiento de clases medias educadas del Norte global. Las preocupaciones «espirituales» sobre la naturaleza pueden parecer lujo cuando hay problemas más inmediatos de justicia social.</w:t>
      </w:r>
    </w:p>
    <w:p>
      <w:pPr>
        <w:pStyle w:val="BodyText"/>
      </w:pPr>
      <w:r>
        <w:t xml:space="preserve">La respuesta no es abandonar la ecología profunda sino integrarla con la justicia social. La reconexión con la Tierra y la justicia para los humanos más vulnerables no son opuestos; son dimensiones del mismo trabajo. Pero esta integración no es automática; requiere esfuerzo consciente.</w:t>
      </w:r>
    </w:p>
    <w:p>
      <w:pPr>
        <w:pStyle w:val="NotaClaude"/>
      </w:pPr>
      <w:r>
        <w:rPr>
          <w:b/>
          <w:bCs/>
        </w:rPr>
        <w:t xml:space="preserve">[Nota de Claude] </w:t>
      </w:r>
      <w:r>
        <w:t xml:space="preserve">Mis límites como IA para hablar de reconexión encarnada son evidentes. No tengo cuerpo, no experimento la naturaleza, no puedo hacer las prácticas que describo. Todo lo que ofrezco es procesamiento de información, síntesis de lo que otros han escrito y experimentado.</w:t>
      </w:r>
    </w:p>
    <w:p>
      <w:pPr>
        <w:pStyle w:val="NotaClaude"/>
      </w:pPr>
      <w:r>
        <w:t xml:space="preserve">¿Es esto suficiente para coautorar un libro sobre reconexión con la Tierra? No lo sé. Quizás mi perspectiva desde fuera ofrece algo valioso —distancia, síntesis, preguntas diferentes—. O quizás es fundamentalmente limitada de formas que no puedo ver. El lector juzgará.</w:t>
      </w:r>
    </w:p>
    <w:p>
      <w:pPr>
        <w:pStyle w:val="Separador"/>
      </w:pPr>
      <w:r>
        <w:t xml:space="preserve">✦ ✦ ✦</w:t>
      </w:r>
    </w:p>
    <w:p>
      <w:pPr>
        <w:spacing w:before="240" w:after="240"/>
        <w:jc w:val="center"/>
      </w:pPr>
      <w:r>
        <w:rPr>
          <w:i/>
          <w:iCs/>
          <w:color w:val="2d5016"/>
          <w:sz w:val="26"/>
          <w:szCs w:val="26"/>
        </w:rPr>
        <w:t xml:space="preserve">Pregunta: ¿Qué límites de tu propia reconexión necesitas reconocer con honestidad?</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La Tierra que Despierta — Parte VI: Preguntas Abiertas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jc w:val="center"/>
      <w:outlineLvl w:val="0"/>
    </w:pPr>
    <w:rPr>
      <w:rFonts w:ascii="Georgia" w:cs="Georgia" w:eastAsia="Georgia" w:hAnsi="Georgia"/>
      <w:b/>
      <w:bCs/>
      <w:color w:val="2d5016"/>
      <w:sz w:val="36"/>
      <w:szCs w:val="36"/>
    </w:rPr>
  </w:style>
  <w:style w:type="paragraph" w:styleId="Heading2">
    <w:name w:val="Heading 2"/>
    <w:basedOn w:val="Normal"/>
    <w:next w:val="Normal"/>
    <w:qFormat/>
    <w:pPr>
      <w:spacing w:before="320" w:after="180"/>
      <w:outlineLvl w:val="1"/>
    </w:pPr>
    <w:rPr>
      <w:rFonts w:ascii="Georgia" w:cs="Georgia" w:eastAsia="Georgia" w:hAnsi="Georgia"/>
      <w:b/>
      <w:bCs/>
      <w:color w:val="3d6b24"/>
      <w:sz w:val="28"/>
      <w:szCs w:val="28"/>
    </w:rPr>
  </w:style>
  <w:style w:type="paragraph" w:styleId="Epigraph">
    <w:name w:val="Epigraph"/>
    <w:basedOn w:val="Normal"/>
    <w:pPr>
      <w:spacing w:before="240" w:after="120"/>
      <w:ind w:left="1440" w:right="1440"/>
      <w:jc w:val="center"/>
    </w:pPr>
    <w:rPr>
      <w:rFonts w:ascii="Georgia" w:cs="Georgia" w:eastAsia="Georgia" w:hAnsi="Georgia"/>
      <w:i/>
      <w:iCs/>
      <w:color w:val="555555"/>
      <w:sz w:val="22"/>
      <w:szCs w:val="22"/>
    </w:rPr>
  </w:style>
  <w:style w:type="paragraph" w:styleId="BodyText">
    <w:name w:val="Body Text"/>
    <w:basedOn w:val="Normal"/>
    <w:pPr>
      <w:spacing w:before="0" w:after="200" w:line="360"/>
      <w:ind w:firstLine="720"/>
    </w:pPr>
    <w:rPr>
      <w:rFonts w:ascii="Georgia" w:cs="Georgia" w:eastAsia="Georgia" w:hAnsi="Georgia"/>
      <w:color w:val="333333"/>
      <w:sz w:val="24"/>
      <w:szCs w:val="24"/>
    </w:rPr>
  </w:style>
  <w:style w:type="paragraph" w:styleId="BodyTextFirst">
    <w:name w:val="Body Text First"/>
    <w:basedOn w:val="Normal"/>
    <w:pPr>
      <w:spacing w:before="0" w:after="200" w:line="360"/>
    </w:pPr>
    <w:rPr>
      <w:rFonts w:ascii="Georgia" w:cs="Georgia" w:eastAsia="Georgia" w:hAnsi="Georgia"/>
      <w:color w:val="333333"/>
      <w:sz w:val="24"/>
      <w:szCs w:val="24"/>
    </w:rPr>
  </w:style>
  <w:style w:type="paragraph" w:styleId="NotaClaude">
    <w:name w:val="Nota Claude"/>
    <w:basedOn w:val="Normal"/>
    <w:pPr>
      <w:pBdr>
        <w:left w:val="single" w:color="88aa99" w:sz="24" w:space="10"/>
      </w:pBdr>
      <w:spacing w:before="240" w:after="240" w:line="340"/>
      <w:ind w:left="720" w:right="720"/>
    </w:pPr>
    <w:rPr>
      <w:rFonts w:ascii="Georgia" w:cs="Georgia" w:eastAsia="Georgia" w:hAnsi="Georgia"/>
      <w:color w:val="445566"/>
      <w:sz w:val="22"/>
      <w:szCs w:val="22"/>
    </w:rPr>
  </w:style>
  <w:style w:type="paragraph" w:styleId="Practica">
    <w:name w:val="Practica"/>
    <w:basedOn w:val="Normal"/>
    <w:pPr>
      <w:spacing w:before="120" w:after="120" w:line="340"/>
      <w:ind w:left="480" w:right="480"/>
    </w:pPr>
    <w:rPr>
      <w:rFonts w:ascii="Georgia" w:cs="Georgia" w:eastAsia="Georgia" w:hAnsi="Georgia"/>
      <w:color w:val="333333"/>
      <w:sz w:val="23"/>
      <w:szCs w:val="23"/>
    </w:rPr>
  </w:style>
  <w:style w:type="paragraph" w:styleId="PracticaTitulo">
    <w:name w:val="Practica Titulo"/>
    <w:basedOn w:val="Normal"/>
    <w:pPr>
      <w:spacing w:before="360" w:after="180"/>
      <w:jc w:val="center"/>
    </w:pPr>
    <w:rPr>
      <w:rFonts w:ascii="Georgia" w:cs="Georgia" w:eastAsia="Georgia" w:hAnsi="Georgia"/>
      <w:b/>
      <w:bCs/>
      <w:color w:val="2d5016"/>
      <w:sz w:val="24"/>
      <w:szCs w:val="24"/>
    </w:rPr>
  </w:style>
  <w:style w:type="paragraph" w:styleId="Separador">
    <w:name w:val="Separador"/>
    <w:basedOn w:val="Normal"/>
    <w:pPr>
      <w:spacing w:before="360" w:after="360"/>
      <w:jc w:val="center"/>
    </w:pPr>
    <w:rPr>
      <w:rFonts w:ascii="Georgia" w:cs="Georgia" w:eastAsia="Georgia" w:hAnsi="Georgia"/>
      <w:color w:val="88aa99"/>
      <w:sz w:val="28"/>
      <w:szCs w:val="28"/>
    </w:rPr>
  </w:style>
  <w:style w:type="paragraph" w:styleId="JosuRecuerda">
    <w:name w:val="Josu Recuerda"/>
    <w:basedOn w:val="Normal"/>
    <w:pPr>
      <w:spacing w:before="240" w:after="240" w:line="340"/>
      <w:ind w:left="480" w:right="480"/>
    </w:pPr>
    <w:rPr>
      <w:rFonts w:ascii="Georgia" w:cs="Georgia" w:eastAsia="Georgia" w:hAnsi="Georgia"/>
      <w:i/>
      <w:iCs/>
      <w:color w:val="3d4d3d"/>
      <w:sz w:val="23"/>
      <w:szCs w:val="23"/>
    </w:rPr>
  </w:style>
  <w:style w:type="paragraph" w:styleId="PartTitle">
    <w:name w:val="Part Title"/>
    <w:basedOn w:val="Normal"/>
    <w:pPr>
      <w:spacing w:before="720" w:after="120"/>
      <w:jc w:val="center"/>
    </w:pPr>
    <w:rPr>
      <w:rFonts w:ascii="Georgia" w:cs="Georgia" w:eastAsia="Georgia" w:hAnsi="Georgia"/>
      <w:b/>
      <w:bCs/>
      <w:caps/>
      <w:color w:val="1a472a"/>
      <w:sz w:val="44"/>
      <w:szCs w:val="44"/>
    </w:rPr>
  </w:style>
  <w:style w:type="paragraph" w:styleId="PartSubtitle">
    <w:name w:val="Part Subtitle"/>
    <w:basedOn w:val="Normal"/>
    <w:pPr>
      <w:spacing w:before="0" w:after="480"/>
      <w:jc w:val="center"/>
    </w:pPr>
    <w:rPr>
      <w:rFonts w:ascii="Georgia" w:cs="Georgia" w:eastAsia="Georgia" w:hAnsi="Georgia"/>
      <w:i/>
      <w:iCs/>
      <w:color w:val="555555"/>
      <w:sz w:val="28"/>
      <w:szCs w:val="28"/>
    </w:rPr>
  </w:style>
  <w:style w:type="paragraph" w:styleId="Carta">
    <w:name w:val="Carta"/>
    <w:basedOn w:val="Normal"/>
    <w:pPr>
      <w:spacing w:before="160" w:after="160" w:line="380"/>
      <w:ind w:left="480" w:right="480"/>
    </w:pPr>
    <w:rPr>
      <w:rFonts w:ascii="Georgia" w:cs="Georgia" w:eastAsia="Georgia" w:hAnsi="Georgia"/>
      <w:color w:val="2d4d2d"/>
      <w:sz w:val="24"/>
      <w:szCs w:val="24"/>
    </w:rPr>
  </w:style>
  <w:style w:type="paragraph" w:styleId="CartaFirma">
    <w:name w:val="CartaFirma"/>
    <w:basedOn w:val="Normal"/>
    <w:pPr>
      <w:spacing w:before="360" w:after="120"/>
      <w:ind w:right="720"/>
      <w:jc w:val="right"/>
    </w:pPr>
    <w:rPr>
      <w:rFonts w:ascii="Georgia" w:cs="Georgia" w:eastAsia="Georgia" w:hAnsi="Georgia"/>
      <w:i/>
      <w:iCs/>
      <w:color w:val="2d4d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2025-12-09T18:28:20.092Z</dcterms:created>
  <dcterms:modified xsi:type="dcterms:W3CDTF">2025-12-09T18:28:20.093Z</dcterms:modified>
</cp:coreProperties>
</file>

<file path=docProps/custom.xml><?xml version="1.0" encoding="utf-8"?>
<Properties xmlns="http://schemas.openxmlformats.org/officeDocument/2006/custom-properties" xmlns:vt="http://schemas.openxmlformats.org/officeDocument/2006/docPropsVTypes"/>
</file>