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63" w:after="0"/>
        <w:ind w:left="2384" w:right="2372" w:firstLine="189"/>
        <w:jc w:val="center"/>
        <w:rPr/>
      </w:pPr>
      <w:r>
        <w:rPr/>
        <w:t>Bibelkunde Neues Testament – SoSe 2021</w:t>
      </w:r>
    </w:p>
    <w:p>
      <w:pPr>
        <w:pStyle w:val="Normal"/>
        <w:spacing w:before="63" w:after="0"/>
        <w:ind w:left="1440" w:right="1513" w:firstLine="720"/>
        <w:rPr/>
      </w:pPr>
      <w:r>
        <w:rPr/>
        <w:t xml:space="preserve">   </w:t>
      </w:r>
      <w:r>
        <w:rPr/>
        <w:t>Henrik Imwalle: henrik.imwalle@ts.uni-heidelberg.de</w:t>
      </w:r>
    </w:p>
    <w:p>
      <w:pPr>
        <w:pStyle w:val="Textkrper"/>
        <w:rPr>
          <w:sz w:val="20"/>
        </w:rPr>
      </w:pPr>
      <w:r>
        <w:rPr>
          <w:sz w:val="20"/>
        </w:rPr>
      </w:r>
    </w:p>
    <w:p>
      <w:pPr>
        <w:pStyle w:val="Textkrper"/>
        <w:spacing w:before="7" w:after="0"/>
        <w:rPr>
          <w:sz w:val="22"/>
        </w:rPr>
      </w:pPr>
      <w:r>
        <w:rPr>
          <w:sz w:val="22"/>
        </w:rPr>
      </w:r>
    </w:p>
    <w:p>
      <w:pPr>
        <w:pStyle w:val="Normal"/>
        <w:spacing w:before="89" w:after="0"/>
        <w:ind w:left="2191" w:right="2193" w:hanging="0"/>
        <w:jc w:val="center"/>
        <w:rPr>
          <w:b/>
          <w:b/>
          <w:sz w:val="28"/>
        </w:rPr>
      </w:pPr>
      <w:r>
        <w:rPr>
          <w:b/>
          <w:sz w:val="28"/>
        </w:rPr>
        <w:t>Arbeitsblatt zum 2. Thessalonicherbrief</w:t>
      </w:r>
    </w:p>
    <w:p>
      <w:pPr>
        <w:pStyle w:val="Textkrper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krper"/>
        <w:rPr>
          <w:b/>
          <w:b/>
          <w:sz w:val="26"/>
        </w:rPr>
      </w:pPr>
      <w:r>
        <w:rPr>
          <w:b/>
          <w:sz w:val="26"/>
        </w:rPr>
      </w:r>
    </w:p>
    <w:p>
      <w:pPr>
        <w:pStyle w:val="Berschrift1"/>
        <w:numPr>
          <w:ilvl w:val="0"/>
          <w:numId w:val="2"/>
        </w:numPr>
        <w:tabs>
          <w:tab w:val="clear" w:pos="708"/>
          <w:tab w:val="left" w:pos="270" w:leader="none"/>
        </w:tabs>
        <w:rPr/>
      </w:pPr>
      <w:r>
        <w:rPr/>
        <w:t>Einleitungsfragen</w:t>
      </w:r>
    </w:p>
    <w:p>
      <w:pPr>
        <w:pStyle w:val="Textkrper"/>
        <w:tabs>
          <w:tab w:val="clear" w:pos="708"/>
          <w:tab w:val="left" w:pos="1532" w:leader="none"/>
        </w:tabs>
        <w:ind w:left="1532" w:right="289" w:hanging="1416"/>
        <w:rPr/>
      </w:pPr>
      <w:r>
        <w:rPr/>
        <w:t>Wann?</w:t>
        <w:tab/>
        <w:t>Die Vorschläge zur Datierung von 2Thess schwanken z.T. stark. Ein gewisser zeitlicher Abstand zur Abfassung des 1Thess ist</w:t>
      </w:r>
      <w:r>
        <w:rPr>
          <w:spacing w:val="-4"/>
        </w:rPr>
        <w:t xml:space="preserve"> </w:t>
      </w:r>
      <w:r>
        <w:rPr/>
        <w:t>wahrscheinlich.</w:t>
      </w:r>
    </w:p>
    <w:p>
      <w:pPr>
        <w:pStyle w:val="Textkrper"/>
        <w:ind w:left="1532" w:hanging="0"/>
        <w:rPr/>
      </w:pPr>
      <w:r>
        <w:rPr/>
        <w:t>(→Datierung gegen Ende des 1. Jh.?)</w:t>
      </w:r>
    </w:p>
    <w:p>
      <w:pPr>
        <w:pStyle w:val="Textkrper"/>
        <w:tabs>
          <w:tab w:val="clear" w:pos="708"/>
          <w:tab w:val="left" w:pos="1532" w:leader="none"/>
        </w:tabs>
        <w:ind w:left="116" w:right="816" w:hanging="0"/>
        <w:rPr/>
      </w:pPr>
      <w:r>
        <w:rPr/>
        <w:t>Wo?</w:t>
        <w:tab/>
        <w:t>Als Entstehungsort wird Kleinasien oder Makedonien angenommen. Wer?</w:t>
        <w:tab/>
        <w:t>Die große Mehrheit der Exegeten halt 2Thess für deuteropaulinisch.</w:t>
      </w:r>
      <w:r>
        <w:rPr>
          <w:spacing w:val="-11"/>
        </w:rPr>
        <w:t xml:space="preserve"> </w:t>
      </w:r>
      <w:r>
        <w:rPr/>
        <w:t>Der</w:t>
      </w:r>
    </w:p>
    <w:p>
      <w:pPr>
        <w:pStyle w:val="Textkrper"/>
        <w:ind w:left="1532" w:right="40" w:hanging="0"/>
        <w:rPr/>
      </w:pPr>
      <w:r>
        <w:rPr/>
        <w:t>Verfasser scheint 1Thess gekannt und als literarische Vorlage genutzt zu haben. Allerdings zeigen sich im Bereich der eschatologischen Aussagen in 2Thess 2,1–12 Differenzen gegenüber Aussagen des 1Thess.</w:t>
      </w:r>
    </w:p>
    <w:p>
      <w:pPr>
        <w:pStyle w:val="Textkrper"/>
        <w:rPr>
          <w:sz w:val="26"/>
        </w:rPr>
      </w:pPr>
      <w:r>
        <w:rPr>
          <w:sz w:val="26"/>
        </w:rPr>
      </w:r>
    </w:p>
    <w:p>
      <w:pPr>
        <w:pStyle w:val="Textkrper"/>
        <w:spacing w:before="3" w:after="0"/>
        <w:rPr>
          <w:sz w:val="22"/>
        </w:rPr>
      </w:pPr>
      <w:r>
        <w:rPr>
          <w:sz w:val="22"/>
        </w:rPr>
      </w:r>
    </w:p>
    <w:p>
      <w:pPr>
        <w:pStyle w:val="Berschrift1"/>
        <w:numPr>
          <w:ilvl w:val="0"/>
          <w:numId w:val="2"/>
        </w:numPr>
        <w:tabs>
          <w:tab w:val="clear" w:pos="708"/>
          <w:tab w:val="left" w:pos="364" w:leader="none"/>
        </w:tabs>
        <w:ind w:left="363" w:hanging="248"/>
        <w:rPr/>
      </w:pPr>
      <w:r>
        <w:rPr/>
        <w:t>Gliederung</w:t>
      </w:r>
    </w:p>
    <w:p>
      <w:pPr>
        <w:pStyle w:val="Normal"/>
        <w:tabs>
          <w:tab w:val="clear" w:pos="708"/>
          <w:tab w:val="left" w:pos="1532" w:leader="none"/>
        </w:tabs>
        <w:spacing w:lineRule="exact" w:line="274"/>
        <w:ind w:left="116" w:hanging="0"/>
        <w:rPr>
          <w:sz w:val="24"/>
        </w:rPr>
      </w:pPr>
      <w:r>
        <w:rPr>
          <w:sz w:val="24"/>
        </w:rPr>
        <w:t>1,</w:t>
      </w:r>
      <w:r>
        <w:rPr>
          <w:b/>
          <w:sz w:val="24"/>
        </w:rPr>
        <w:t>1f.</w:t>
        <w:tab/>
      </w:r>
      <w:r>
        <w:rPr>
          <w:sz w:val="24"/>
        </w:rPr>
        <w:t>Präskript</w:t>
      </w:r>
    </w:p>
    <w:p>
      <w:pPr>
        <w:pStyle w:val="Textkrper"/>
        <w:tabs>
          <w:tab w:val="clear" w:pos="708"/>
          <w:tab w:val="left" w:pos="1532" w:leader="none"/>
        </w:tabs>
        <w:ind w:left="116" w:hanging="0"/>
        <w:rPr/>
      </w:pPr>
      <w:r>
        <w:rPr/>
        <w:t>1,</w:t>
      </w:r>
      <w:r>
        <w:rPr>
          <w:b/>
        </w:rPr>
        <w:t>3</w:t>
      </w:r>
      <w:r>
        <w:rPr/>
        <w:t>–12</w:t>
        <w:tab/>
        <w:t>Proömium</w:t>
      </w:r>
    </w:p>
    <w:p>
      <w:pPr>
        <w:pStyle w:val="Textkrper"/>
        <w:tabs>
          <w:tab w:val="clear" w:pos="708"/>
          <w:tab w:val="left" w:pos="1532" w:leader="none"/>
        </w:tabs>
        <w:ind w:left="116" w:right="3722" w:hanging="0"/>
        <w:rPr/>
      </w:pPr>
      <w:r>
        <w:rPr/>
        <w:t>2,1–</w:t>
      </w:r>
      <w:r>
        <w:rPr>
          <w:b/>
        </w:rPr>
        <w:t>12</w:t>
        <w:tab/>
      </w:r>
      <w:r>
        <w:rPr/>
        <w:t>Belehrungen über die Wiederkunft Christi 2,</w:t>
      </w:r>
      <w:r>
        <w:rPr>
          <w:b/>
        </w:rPr>
        <w:t>13</w:t>
      </w:r>
      <w:r>
        <w:rPr/>
        <w:t>–3,</w:t>
      </w:r>
      <w:r>
        <w:rPr>
          <w:b/>
        </w:rPr>
        <w:t>15</w:t>
        <w:tab/>
      </w:r>
      <w:r>
        <w:rPr/>
        <w:t>Ermahnungen und</w:t>
      </w:r>
      <w:r>
        <w:rPr>
          <w:spacing w:val="-1"/>
        </w:rPr>
        <w:t xml:space="preserve"> </w:t>
      </w:r>
      <w:r>
        <w:rPr/>
        <w:t>Wunsche</w:t>
      </w:r>
    </w:p>
    <w:p>
      <w:pPr>
        <w:pStyle w:val="Textkrper"/>
        <w:tabs>
          <w:tab w:val="clear" w:pos="708"/>
          <w:tab w:val="left" w:pos="1532" w:leader="none"/>
        </w:tabs>
        <w:ind w:left="116" w:hanging="0"/>
        <w:rPr/>
      </w:pPr>
      <w:r>
        <w:rPr/>
        <w:t>3,</w:t>
      </w:r>
      <w:r>
        <w:rPr>
          <w:b/>
        </w:rPr>
        <w:t>16</w:t>
      </w:r>
      <w:r>
        <w:rPr/>
        <w:t>ff.</w:t>
        <w:tab/>
        <w:t>Briefschluss: „eigenhändige“</w:t>
      </w:r>
      <w:r>
        <w:rPr>
          <w:spacing w:val="-2"/>
        </w:rPr>
        <w:t xml:space="preserve"> </w:t>
      </w:r>
      <w:r>
        <w:rPr/>
        <w:t>Unterschrift</w:t>
      </w:r>
    </w:p>
    <w:p>
      <w:pPr>
        <w:pStyle w:val="Textkrper"/>
        <w:rPr>
          <w:sz w:val="26"/>
        </w:rPr>
      </w:pPr>
      <w:r>
        <w:rPr>
          <w:sz w:val="26"/>
        </w:rPr>
      </w:r>
    </w:p>
    <w:p>
      <w:pPr>
        <w:pStyle w:val="Textkrper"/>
        <w:spacing w:before="5" w:after="0"/>
        <w:rPr>
          <w:sz w:val="22"/>
        </w:rPr>
      </w:pPr>
      <w:r>
        <w:rPr>
          <w:sz w:val="22"/>
        </w:rPr>
      </w:r>
    </w:p>
    <w:p>
      <w:pPr>
        <w:pStyle w:val="Berschrift1"/>
        <w:numPr>
          <w:ilvl w:val="0"/>
          <w:numId w:val="2"/>
        </w:numPr>
        <w:tabs>
          <w:tab w:val="clear" w:pos="708"/>
          <w:tab w:val="left" w:pos="457" w:leader="none"/>
        </w:tabs>
        <w:ind w:left="456" w:hanging="341"/>
        <w:rPr/>
      </w:pPr>
      <w:r>
        <w:rPr/>
        <w:t>Belehrungen über die Wiederkunft</w:t>
      </w:r>
      <w:r>
        <w:rPr>
          <w:spacing w:val="-3"/>
        </w:rPr>
        <w:t xml:space="preserve"> </w:t>
      </w:r>
      <w:r>
        <w:rPr/>
        <w:t>Christi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61" w:leader="none"/>
        </w:tabs>
        <w:spacing w:lineRule="auto" w:line="240"/>
        <w:ind w:left="116" w:right="152" w:hanging="0"/>
        <w:rPr>
          <w:sz w:val="24"/>
        </w:rPr>
      </w:pPr>
      <w:r>
        <w:rPr>
          <w:sz w:val="24"/>
        </w:rPr>
        <w:t>Welche Probleme unter den Adressaten scheinen hier der Anlass zu sein, Fragen der Endzeit zu</w:t>
      </w:r>
      <w:r>
        <w:rPr>
          <w:spacing w:val="-1"/>
          <w:sz w:val="24"/>
        </w:rPr>
        <w:t xml:space="preserve"> </w:t>
      </w:r>
      <w:r>
        <w:rPr>
          <w:sz w:val="24"/>
        </w:rPr>
        <w:t>thematisieren?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1" w:leader="none"/>
        </w:tabs>
        <w:spacing w:lineRule="auto" w:line="240"/>
        <w:ind w:left="232" w:right="152" w:hanging="0"/>
        <w:rPr>
          <w:sz w:val="24"/>
        </w:rPr>
      </w:pPr>
      <w:r>
        <w:rPr>
          <w:sz w:val="24"/>
        </w:rPr>
        <w:t>In einem Brief an die Gemeinde wurde behauptet, der Tag des Herrn sei schon da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1" w:leader="none"/>
        </w:tabs>
        <w:spacing w:lineRule="auto" w:line="240"/>
        <w:ind w:left="232" w:right="152" w:hanging="0"/>
        <w:rPr>
          <w:sz w:val="24"/>
        </w:rPr>
      </w:pPr>
      <w:r>
        <w:rPr>
          <w:sz w:val="24"/>
        </w:rPr>
        <w:t>Paulus hat Angst, sie könnten verführt werden (falscher Lebenswandel), einige Brüder würden nicht mehr arbeiten (da bevorstehende Parusie)</w:t>
      </w:r>
    </w:p>
    <w:p>
      <w:pPr>
        <w:pStyle w:val="Textkrper"/>
        <w:spacing w:before="9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61" w:leader="none"/>
        </w:tabs>
        <w:spacing w:lineRule="auto" w:line="240"/>
        <w:ind w:left="116" w:right="574" w:hanging="0"/>
        <w:rPr>
          <w:sz w:val="24"/>
        </w:rPr>
      </w:pPr>
      <w:r>
        <w:rPr>
          <w:sz w:val="24"/>
        </w:rPr>
        <w:t>Der Verfasser des 2Thess hat konkrete Vorstellungen von den Endereignissen. Vergleichen Sie diese mit den einschlägigen Ausführungen im 1Thess.</w:t>
      </w:r>
    </w:p>
    <w:p>
      <w:pPr>
        <w:pStyle w:val="Textkrper"/>
        <w:rPr>
          <w:sz w:val="22"/>
          <w:szCs w:val="22"/>
        </w:rPr>
      </w:pPr>
      <w:r>
        <w:rPr>
          <w:sz w:val="22"/>
          <w:szCs w:val="22"/>
        </w:rPr>
        <w:t>Sohn des Verderbens muss erst kommen (im Moment wird er noch aufgehalten), er wird dann aber von Jesus getötet (mit dem Hauch seines Mundes)</w:t>
      </w:r>
    </w:p>
    <w:p>
      <w:pPr>
        <w:pStyle w:val="Textkrper"/>
        <w:rPr>
          <w:sz w:val="22"/>
          <w:szCs w:val="22"/>
        </w:rPr>
      </w:pPr>
      <w:r>
        <w:rPr>
          <w:sz w:val="22"/>
          <w:szCs w:val="22"/>
        </w:rPr>
        <w:t>im 1Thess kommt kein Aufhalter (katechon) vor und auch kein Endkampf, außerdem auch kein Gericht, stattdessen: Wiederkehr, Auferstehung, Entrückung</w:t>
      </w:r>
    </w:p>
    <w:p>
      <w:pPr>
        <w:pStyle w:val="Textkrper"/>
        <w:spacing w:before="5" w:after="0"/>
        <w:rPr>
          <w:sz w:val="22"/>
        </w:rPr>
      </w:pPr>
      <w:r>
        <w:rPr>
          <w:sz w:val="22"/>
        </w:rPr>
      </w:r>
    </w:p>
    <w:p>
      <w:pPr>
        <w:pStyle w:val="Berschrift1"/>
        <w:numPr>
          <w:ilvl w:val="0"/>
          <w:numId w:val="2"/>
        </w:numPr>
        <w:tabs>
          <w:tab w:val="clear" w:pos="708"/>
          <w:tab w:val="left" w:pos="444" w:leader="none"/>
        </w:tabs>
        <w:ind w:left="443" w:hanging="328"/>
        <w:rPr/>
      </w:pPr>
      <w:r>
        <w:rPr/>
        <w:t>Ermahnungen und</w:t>
      </w:r>
      <w:r>
        <w:rPr>
          <w:spacing w:val="-3"/>
        </w:rPr>
        <w:t xml:space="preserve"> </w:t>
      </w:r>
      <w:r>
        <w:rPr/>
        <w:t>Wünsche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63" w:leader="none"/>
        </w:tabs>
        <w:spacing w:lineRule="auto" w:line="240"/>
        <w:ind w:left="116" w:right="436" w:hanging="0"/>
        <w:rPr>
          <w:i/>
          <w:i/>
          <w:sz w:val="24"/>
        </w:rPr>
      </w:pPr>
      <w:r>
        <w:rPr>
          <w:i/>
          <w:sz w:val="24"/>
        </w:rPr>
        <w:t>Wie wird in diesem Briefabschnitt der Zusammenhang zwischen dem Handeln Gottes und dem Handeln der Gemeinde bzw. ihrer einzelnen Glieder beschrieben?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263" w:leader="none"/>
        </w:tabs>
        <w:spacing w:lineRule="auto" w:line="240"/>
        <w:ind w:left="232" w:right="436" w:hanging="0"/>
        <w:rPr>
          <w:sz w:val="22"/>
          <w:szCs w:val="22"/>
        </w:rPr>
      </w:pPr>
      <w:r>
        <w:rPr>
          <w:i/>
          <w:sz w:val="22"/>
          <w:szCs w:val="22"/>
        </w:rPr>
        <w:t>Gott hat uns erwählt und berufen, deswegen Standfestigkeit der Gemeinde</w:t>
      </w:r>
    </w:p>
    <w:p>
      <w:pPr>
        <w:pStyle w:val="Textkrper"/>
        <w:spacing w:before="9" w:after="0"/>
        <w:rPr>
          <w:i/>
          <w:i/>
          <w:sz w:val="23"/>
        </w:rPr>
      </w:pPr>
      <w:r>
        <w:rPr>
          <w:i/>
          <w:sz w:val="23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63" w:leader="none"/>
        </w:tabs>
        <w:spacing w:lineRule="auto" w:line="240"/>
        <w:ind w:left="262" w:hanging="147"/>
        <w:rPr>
          <w:i/>
          <w:i/>
          <w:sz w:val="24"/>
        </w:rPr>
      </w:pPr>
      <w:r>
        <w:rPr>
          <w:i/>
          <w:sz w:val="24"/>
        </w:rPr>
        <w:t>Welche Verhaltensmaßstäbe werden der Gemeinde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übermittelt?</w:t>
      </w:r>
    </w:p>
    <w:p>
      <w:pPr>
        <w:pStyle w:val="Textkrper"/>
        <w:rPr>
          <w:i/>
          <w:i/>
          <w:sz w:val="26"/>
        </w:rPr>
      </w:pPr>
      <w:r>
        <w:rPr>
          <w:i/>
          <w:sz w:val="26"/>
        </w:rPr>
        <w:t>An den Überlieferungen festhalten, sich von den Brüdern zurückziehen, die nicht an den Überlieferungen festhalten, nicht müde werden, zu arbeiten und Gutes zu tun.</w:t>
      </w:r>
    </w:p>
    <w:p>
      <w:pPr>
        <w:pStyle w:val="Textkrper"/>
        <w:rPr>
          <w:i/>
          <w:i/>
          <w:sz w:val="26"/>
        </w:rPr>
      </w:pPr>
      <w:r>
        <w:rPr>
          <w:i/>
          <w:sz w:val="26"/>
        </w:rPr>
        <w:t>Wer ungehorsam ist, soll nicht als Feind betrachtet werden, sondern als Bruder zurechtgewiesen werden.</w:t>
      </w:r>
    </w:p>
    <w:p>
      <w:pPr>
        <w:pStyle w:val="Textkrper"/>
        <w:spacing w:before="6" w:after="0"/>
        <w:rPr>
          <w:i/>
          <w:i/>
          <w:sz w:val="22"/>
        </w:rPr>
      </w:pPr>
      <w:r>
        <w:rPr>
          <w:i/>
          <w:sz w:val="22"/>
        </w:rPr>
      </w:r>
    </w:p>
    <w:p>
      <w:pPr>
        <w:pStyle w:val="Berschrift1"/>
        <w:numPr>
          <w:ilvl w:val="0"/>
          <w:numId w:val="2"/>
        </w:numPr>
        <w:tabs>
          <w:tab w:val="clear" w:pos="708"/>
          <w:tab w:val="left" w:pos="350" w:leader="none"/>
        </w:tabs>
        <w:spacing w:lineRule="exact" w:line="272"/>
        <w:ind w:left="349" w:hanging="234"/>
        <w:rPr/>
      </w:pPr>
      <w:r>
        <w:rPr/>
        <w:t>Fragen zum ganzen</w:t>
      </w:r>
      <w:r>
        <w:rPr>
          <w:spacing w:val="-3"/>
        </w:rPr>
        <w:t xml:space="preserve"> </w:t>
      </w:r>
      <w:r>
        <w:rPr/>
        <w:t>Brief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61" w:leader="none"/>
        </w:tabs>
        <w:spacing w:lineRule="auto" w:line="240"/>
        <w:ind w:left="116" w:right="325" w:hanging="0"/>
        <w:rPr>
          <w:i/>
          <w:i/>
          <w:sz w:val="24"/>
        </w:rPr>
      </w:pPr>
      <w:r>
        <w:rPr>
          <w:i/>
          <w:sz w:val="24"/>
        </w:rPr>
        <w:t>Vergleichen Sie Aufbau und Inhalt des 2Thess mit 1Thess. Welche Gemeinsamkeiten fallen auf?</w:t>
      </w:r>
    </w:p>
    <w:p>
      <w:pPr>
        <w:pStyle w:val="Textkrper"/>
        <w:rPr>
          <w:i/>
          <w:i/>
          <w:sz w:val="26"/>
        </w:rPr>
      </w:pPr>
      <w:r>
        <w:rPr>
          <w:i/>
          <w:sz w:val="26"/>
        </w:rPr>
        <w:t>Absender und Adressaten sind gleich</w:t>
      </w:r>
    </w:p>
    <w:p>
      <w:pPr>
        <w:pStyle w:val="Textkrper"/>
        <w:rPr>
          <w:i/>
          <w:i/>
          <w:sz w:val="26"/>
        </w:rPr>
      </w:pPr>
      <w:r>
        <w:rPr>
          <w:rFonts w:eastAsia="Times New Roman" w:cs="Times New Roman"/>
          <w:i/>
          <w:sz w:val="26"/>
          <w:szCs w:val="24"/>
          <w:lang w:eastAsia="de-DE" w:bidi="de-DE"/>
        </w:rPr>
        <w:t>Aufbau</w:t>
      </w:r>
      <w:r>
        <w:rPr>
          <w:i/>
          <w:sz w:val="26"/>
        </w:rPr>
        <w:t xml:space="preserve"> frappierend ähnlich (nach Proömium Rückblick auf frühere Verfolgung, 3: analog zu 1Thess 5 abschließende Mahnungen)</w:t>
      </w:r>
    </w:p>
    <w:p>
      <w:pPr>
        <w:pStyle w:val="Textkrper"/>
        <w:rPr>
          <w:i/>
          <w:i/>
          <w:sz w:val="26"/>
        </w:rPr>
      </w:pPr>
      <w:r>
        <w:rPr>
          <w:i/>
          <w:sz w:val="26"/>
        </w:rPr>
        <w:t>Bei beiden fehlen Grüße am Ende</w:t>
      </w:r>
    </w:p>
    <w:p>
      <w:pPr>
        <w:pStyle w:val="Textkrper"/>
        <w:spacing w:before="1" w:after="0"/>
        <w:rPr>
          <w:i/>
          <w:i/>
          <w:sz w:val="22"/>
        </w:rPr>
      </w:pPr>
      <w:r>
        <w:rPr>
          <w:i/>
          <w:sz w:val="22"/>
        </w:rPr>
      </w:r>
    </w:p>
    <w:p>
      <w:pPr>
        <w:pStyle w:val="Berschrift1"/>
        <w:numPr>
          <w:ilvl w:val="0"/>
          <w:numId w:val="2"/>
        </w:numPr>
        <w:tabs>
          <w:tab w:val="clear" w:pos="708"/>
          <w:tab w:val="left" w:pos="444" w:leader="none"/>
        </w:tabs>
        <w:ind w:left="443" w:hanging="328"/>
        <w:rPr/>
      </w:pPr>
      <w:r>
        <w:rPr/>
        <w:t>Themen</w:t>
      </w:r>
    </w:p>
    <w:p>
      <w:pPr>
        <w:pStyle w:val="Normal"/>
        <w:spacing w:lineRule="exact" w:line="274"/>
        <w:ind w:left="116" w:hanging="0"/>
        <w:rPr>
          <w:i/>
          <w:i/>
          <w:sz w:val="24"/>
        </w:rPr>
      </w:pPr>
      <w:r>
        <w:rPr>
          <w:i/>
          <w:sz w:val="24"/>
        </w:rPr>
        <w:t>Notieren Sie sich Kapitelangaben und Stichworte zu folgenden Themen: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61" w:leader="none"/>
        </w:tabs>
        <w:spacing w:lineRule="auto" w:line="240"/>
        <w:ind w:left="260" w:hanging="145"/>
        <w:rPr>
          <w:i/>
          <w:i/>
          <w:sz w:val="24"/>
        </w:rPr>
      </w:pPr>
      <w:r>
        <w:rPr>
          <w:i/>
          <w:sz w:val="24"/>
        </w:rPr>
        <w:t xml:space="preserve">Auferstehung </w:t>
      </w:r>
      <w:r>
        <w:rPr>
          <w:i/>
          <w:sz w:val="24"/>
        </w:rPr>
        <w:t>(der Tag des Herrn ist noch nicht da, wie fälschlicherweise behauptet wurde (2.2)</w:t>
      </w:r>
    </w:p>
    <w:p>
      <w:pPr>
        <w:pStyle w:val="Textkrper"/>
        <w:spacing w:before="7" w:after="0"/>
        <w:rPr>
          <w:i/>
          <w:i/>
          <w:sz w:val="16"/>
        </w:rPr>
      </w:pPr>
      <w:r>
        <w:rPr>
          <w:i/>
          <w:sz w:val="16"/>
        </w:rPr>
      </w:r>
    </w:p>
    <w:p>
      <w:pPr>
        <w:pStyle w:val="Berschrift1"/>
        <w:numPr>
          <w:ilvl w:val="0"/>
          <w:numId w:val="2"/>
        </w:numPr>
        <w:tabs>
          <w:tab w:val="clear" w:pos="708"/>
          <w:tab w:val="left" w:pos="537" w:leader="none"/>
        </w:tabs>
        <w:spacing w:before="90" w:after="0"/>
        <w:ind w:left="536" w:hanging="421"/>
        <w:rPr/>
      </w:pPr>
      <w:r>
        <w:rPr/>
        <w:t>Texte zum</w:t>
      </w:r>
      <w:r>
        <w:rPr>
          <w:spacing w:val="-6"/>
        </w:rPr>
        <w:t xml:space="preserve"> </w:t>
      </w:r>
      <w:r>
        <w:rPr/>
        <w:t>Auswendiglernen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61" w:leader="none"/>
        </w:tabs>
        <w:ind w:left="260" w:hanging="145"/>
        <w:rPr>
          <w:i/>
          <w:i/>
          <w:sz w:val="24"/>
        </w:rPr>
      </w:pPr>
      <w:r>
        <w:rPr>
          <w:i/>
          <w:sz w:val="24"/>
        </w:rPr>
        <w:t>die Treue des Herrn (2Thess 3,3)</w:t>
      </w:r>
    </w:p>
    <w:p>
      <w:pPr>
        <w:pStyle w:val="Normal"/>
        <w:spacing w:before="150" w:after="0"/>
        <w:ind w:left="1" w:hanging="0"/>
        <w:jc w:val="center"/>
        <w:rPr>
          <w:rFonts w:ascii="Calibri" w:hAnsi="Calibri"/>
        </w:rPr>
      </w:pPr>
      <w:r>
        <w:rPr>
          <w:rFonts w:ascii="Calibri" w:hAnsi="Calibri"/>
        </w:rPr>
        <w:t>1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300" w:right="1300" w:header="0" w:top="6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•"/>
      <w:lvlJc w:val="left"/>
      <w:pPr>
        <w:tabs>
          <w:tab w:val="num" w:pos="0"/>
        </w:tabs>
        <w:ind w:left="116" w:hanging="144"/>
      </w:pPr>
      <w:rPr>
        <w:rFonts w:ascii="Times New Roman" w:hAnsi="Times New Roman" w:cs="Times New Roman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38" w:hanging="144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57" w:hanging="144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75" w:hanging="144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94" w:hanging="144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13" w:hanging="144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31" w:hanging="144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50" w:hanging="144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69" w:hanging="144"/>
      </w:pPr>
      <w:rPr>
        <w:rFonts w:ascii="Symbol" w:hAnsi="Symbol" w:cs="Symbol" w:hint="default"/>
      </w:rPr>
    </w:lvl>
  </w:abstractNum>
  <w:abstractNum w:abstractNumId="2">
    <w:lvl w:ilvl="0">
      <w:start w:val="1"/>
      <w:numFmt w:val="upperRoman"/>
      <w:lvlText w:val="%1"/>
      <w:lvlJc w:val="left"/>
      <w:pPr>
        <w:tabs>
          <w:tab w:val="num" w:pos="0"/>
        </w:tabs>
        <w:ind w:left="269" w:hanging="154"/>
      </w:pPr>
      <w:rPr>
        <w:sz w:val="24"/>
        <w:b/>
        <w:szCs w:val="24"/>
        <w:bCs/>
        <w:w w:val="99"/>
        <w:rFonts w:eastAsia="Times New Roman" w:cs="Times New Roman"/>
        <w:lang w:val="de-DE" w:eastAsia="de-DE" w:bidi="de-DE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64" w:hanging="154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69" w:hanging="154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73" w:hanging="154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78" w:hanging="154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83" w:hanging="154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87" w:hanging="154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92" w:hanging="154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97" w:hanging="154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sid w:val="00637b03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eastAsia="de-DE" w:bidi="de-DE" w:val="de-DE"/>
    </w:rPr>
  </w:style>
  <w:style w:type="paragraph" w:styleId="Berschrift1">
    <w:name w:val="Heading 1"/>
    <w:basedOn w:val="Normal"/>
    <w:link w:val="berschrift1Zchn"/>
    <w:uiPriority w:val="1"/>
    <w:qFormat/>
    <w:rsid w:val="00637b03"/>
    <w:pPr>
      <w:spacing w:lineRule="exact" w:line="274"/>
      <w:ind w:left="443" w:hanging="328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link w:val="berschrift1"/>
    <w:uiPriority w:val="1"/>
    <w:qFormat/>
    <w:rsid w:val="00637b03"/>
    <w:rPr>
      <w:rFonts w:ascii="Times New Roman" w:hAnsi="Times New Roman" w:eastAsia="Times New Roman" w:cs="Times New Roman"/>
      <w:b/>
      <w:bCs/>
      <w:sz w:val="24"/>
      <w:szCs w:val="24"/>
      <w:lang w:eastAsia="de-DE" w:bidi="de-DE"/>
    </w:rPr>
  </w:style>
  <w:style w:type="character" w:styleId="TextkrperZchn" w:customStyle="1">
    <w:name w:val="Textkörper Zchn"/>
    <w:basedOn w:val="DefaultParagraphFont"/>
    <w:link w:val="Textkrper"/>
    <w:uiPriority w:val="1"/>
    <w:qFormat/>
    <w:rsid w:val="00637b03"/>
    <w:rPr>
      <w:rFonts w:ascii="Times New Roman" w:hAnsi="Times New Roman" w:eastAsia="Times New Roman" w:cs="Times New Roman"/>
      <w:sz w:val="24"/>
      <w:szCs w:val="24"/>
      <w:lang w:eastAsia="de-DE" w:bidi="de-DE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link w:val="TextkrperZchn"/>
    <w:uiPriority w:val="1"/>
    <w:qFormat/>
    <w:rsid w:val="00637b03"/>
    <w:pPr/>
    <w:rPr>
      <w:sz w:val="24"/>
      <w:szCs w:val="24"/>
    </w:rPr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637b03"/>
    <w:pPr>
      <w:spacing w:lineRule="exact" w:line="274"/>
      <w:ind w:left="11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LibreOffice/6.4.7.2$Linux_X86_64 LibreOffice_project/40$Build-2</Application>
  <Pages>2</Pages>
  <Words>397</Words>
  <Characters>2410</Characters>
  <CharactersWithSpaces>2753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2021-06-21T05:48:00Z</dcterms:created>
  <dc:creator>Henrik Imwalle</dc:creator>
  <dc:description/>
  <dc:language>de-DE</dc:language>
  <cp:lastModifiedBy/>
  <dcterms:modified xsi:type="dcterms:W3CDTF">2021-09-14T11:22:49Z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