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592D"/>
          <w:sz w:val="28"/>
        </w:rPr>
        <w:t>UNIVERSIDAD DE LAS FUERZAS ARMADAS - ESPE</w:t>
      </w:r>
    </w:p>
    <w:p>
      <w:pPr>
        <w:spacing w:before="800"/>
      </w:pPr>
    </w:p>
    <w:p>
      <w:pPr>
        <w:spacing w:after="240"/>
        <w:jc w:val="center"/>
      </w:pPr>
      <w:r>
        <w:rPr>
          <w:b/>
          <w:color w:val="00592D"/>
          <w:sz w:val="48"/>
        </w:rPr>
        <w:t>DOCUMENTO DE ARQUITECTURA DE SOFTWARE</w:t>
      </w:r>
    </w:p>
    <w:p>
      <w:pPr>
        <w:spacing w:after="3200"/>
        <w:jc w:val="center"/>
      </w:pPr>
      <w:r>
        <w:rPr>
          <w:i/>
          <w:color w:val="2C3E50"/>
          <w:sz w:val="26"/>
        </w:rPr>
        <w:t>Automatización e Implementación Técnica del Proceso de Solicitud de Vacaciones en Bizagi Studio</w:t>
      </w:r>
    </w:p>
    <w:p>
      <w:pPr>
        <w:spacing w:line="312" w:lineRule="auto"/>
        <w:ind w:left="720"/>
        <w:jc w:val="left"/>
      </w:pPr>
      <w:r>
        <w:rPr>
          <w:color w:val="2C3E50"/>
          <w:sz w:val="20"/>
        </w:rPr>
        <w:t>Asignatura: Gestión de Procesos de Negocio (BPM)</w:t>
        <w:br/>
        <w:t>Herramienta Tecnológica: Bizagi Studio v12+</w:t>
        <w:br/>
        <w:t>Fecha de Entrega: 10/06/2026</w:t>
        <w:br/>
        <w:t>Estado del Entregable: Informe de Arquitectura Final</w:t>
        <w:br/>
        <w:t>Autor/Estudiante: [Ingresa tu Nombre Aquí]</w:t>
        <w:br/>
        <w:t>Docente: [Ingresa el Nombre del Docente Aquí]</w:t>
      </w:r>
    </w:p>
    <w:p>
      <w:r>
        <w:br w:type="page"/>
      </w:r>
    </w:p>
    <w:p>
      <w:pPr>
        <w:pStyle w:val="Heading1"/>
        <w:keepNext/>
        <w:spacing w:before="0" w:after="240"/>
      </w:pPr>
      <w:r>
        <w:rPr>
          <w:rFonts w:ascii="Calibri" w:hAnsi="Calibri"/>
          <w:b/>
          <w:color w:val="00592D"/>
          <w:sz w:val="36"/>
        </w:rPr>
        <w:t>Introducción y Alcance del Proyecto</w:t>
      </w:r>
    </w:p>
    <w:p>
      <w:pPr>
        <w:spacing w:after="200" w:line="276" w:lineRule="auto"/>
      </w:pPr>
      <w:r>
        <w:t>El presente documento detalla la arquitectura técnica, el modelo de datos y la lógica de negocio diseñada para la automatización integral del proceso de 'Solicitud de Vacaciones' en la plataforma Bizagi Studio. Este proyecto responde a las directrices de desarrollo ágil y automatización de procesos bajo la notación estándar BPMN 2.0, garantizando un flujo eficiente, transparente y libre de errores humanos.</w:t>
      </w:r>
    </w:p>
    <w:p>
      <w:pPr>
        <w:spacing w:after="200" w:line="276" w:lineRule="auto"/>
      </w:pPr>
      <w:r>
        <w:t>El sistema web generado aborda el ciclo de vida completo de una petición de descanso laboral: desde el registro estructurado por parte del colaborador, pasando por la evaluación y toma de decisiones jerárquicas, hasta la gestión y auditoría final. A lo largo del documento se exponen las validaciones técnicas aplicadas, los controles de edición de interfaces (UI), las expresiones lógicas operativas y los métodos de enrutamiento de participantes.</w:t>
      </w:r>
    </w:p>
    <w:p>
      <w:pPr>
        <w:pStyle w:val="Heading1"/>
        <w:keepNext/>
        <w:spacing w:before="280" w:after="120"/>
      </w:pPr>
      <w:r>
        <w:rPr>
          <w:rFonts w:ascii="Calibri" w:hAnsi="Calibri"/>
          <w:b/>
          <w:color w:val="00592D"/>
          <w:sz w:val="36"/>
        </w:rPr>
        <w:t>1. Modelado del Proceso (El Flujo BPMN)</w:t>
      </w:r>
    </w:p>
    <w:p>
      <w:pPr>
        <w:spacing w:after="200" w:line="276" w:lineRule="auto"/>
      </w:pPr>
      <w:r>
        <w:t>El proceso fue diagramado y estructurado en Bizagi utilizando tres carriles (Lanes) principales que delimitan con exactitud las responsabilidades de cada actor dentro de la organización corporativa e institucional de la ESPE:</w:t>
      </w:r>
    </w:p>
    <w:p>
      <w:pPr>
        <w:pStyle w:val="ListBullet"/>
        <w:spacing w:after="80"/>
      </w:pPr>
      <w:r>
        <w:rPr>
          <w:b/>
          <w:color w:val="00592D"/>
        </w:rPr>
        <w:t xml:space="preserve">Empleado: </w:t>
      </w:r>
      <w:r>
        <w:t>Colaborador institucional que inicia de manera proactiva el caso de vacaciones. Tiene la responsabilidad de definir el periodo de ausencia y, si su solicitud es rechazada o devuelta, decidir si modifica los parámetros de las fechas o cancela definitivamente el trámite.</w:t>
      </w:r>
    </w:p>
    <w:p>
      <w:pPr>
        <w:pStyle w:val="ListBullet"/>
        <w:spacing w:after="80"/>
      </w:pPr>
      <w:r>
        <w:rPr>
          <w:b/>
          <w:color w:val="00592D"/>
        </w:rPr>
        <w:t xml:space="preserve">Supervisor: </w:t>
      </w:r>
      <w:r>
        <w:t>Líder técnico o jefe inmediato del solicitante. Recibe de forma automatizada la tarea en su bandeja de entrada. Su rol consiste en evaluar la viabilidad operativa de las fechas basándose en la carga de trabajo y emitir un dictamen (Aprobado / Rechazado).</w:t>
      </w:r>
    </w:p>
    <w:p>
      <w:pPr>
        <w:pStyle w:val="ListBullet"/>
        <w:spacing w:after="80"/>
      </w:pPr>
      <w:r>
        <w:rPr>
          <w:b/>
          <w:color w:val="00592D"/>
        </w:rPr>
        <w:t xml:space="preserve">Administrador: </w:t>
      </w:r>
      <w:r>
        <w:t>Rol central de gestión y control analítico (asimilado al área de Talento Humano o TI). Se encarga de la auditoría del proceso, el cierre formal de la solicitud, la actualización definitiva de los saldos de días hábiles en el sistema maestro y la generación de reportes.</w:t>
      </w:r>
    </w:p>
    <w:p>
      <w:pPr>
        <w:spacing w:before="280" w:after="280"/>
        <w:jc w:val="center"/>
      </w:pPr>
      <w:r>
        <w:rPr>
          <w:b/>
          <w:i/>
          <w:color w:val="2C3E50"/>
        </w:rPr>
        <w:br/>
        <w:t>===========================================================</w:t>
        <w:br/>
        <w:t>[INSERTAR AQUÍ CAPTURA DEL DIAGRAMA BPMN DESDE BIZAGI STUDIO]</w:t>
        <w:br/>
        <w:t>===========================================================</w:t>
        <w:br/>
      </w:r>
    </w:p>
    <w:p>
      <w:pPr>
        <w:pStyle w:val="Heading1"/>
        <w:keepNext/>
        <w:spacing w:before="280" w:after="120"/>
      </w:pPr>
      <w:r>
        <w:rPr>
          <w:rFonts w:ascii="Calibri" w:hAnsi="Calibri"/>
          <w:b/>
          <w:color w:val="00592D"/>
          <w:sz w:val="36"/>
        </w:rPr>
        <w:t>2. Modelado de Datos (La Base de Datos Relacional)</w:t>
      </w:r>
    </w:p>
    <w:p>
      <w:pPr>
        <w:spacing w:after="200" w:line="276" w:lineRule="auto"/>
      </w:pPr>
      <w:r>
        <w:t>Bizagi Studio gestiona un modelo de datos relacional subyacente. Para dar soporte a las validaciones técnicas, automatizaciones de auditoría y almacenamiento histórico, se estructuró la entidad de aplicación principal junto con sus respectivos atributos fundamentales, detallados en la siguiente tabla técnica: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592D"/>
          </w:tcPr>
          <w:p>
            <w:pPr>
              <w:jc w:val="center"/>
            </w:pPr>
            <w:r>
              <w:rPr>
                <w:b/>
                <w:color w:val="FFFFFF"/>
              </w:rPr>
              <w:t>Atributo de Entidad</w:t>
            </w:r>
          </w:p>
        </w:tc>
        <w:tc>
          <w:tcPr>
            <w:tcW w:type="dxa" w:w="1728"/>
            <w:shd w:fill="00592D"/>
          </w:tcPr>
          <w:p>
            <w:pPr>
              <w:jc w:val="center"/>
            </w:pPr>
            <w:r>
              <w:rPr>
                <w:b/>
                <w:color w:val="FFFFFF"/>
              </w:rPr>
              <w:t>Tipo de Dato</w:t>
            </w:r>
          </w:p>
        </w:tc>
        <w:tc>
          <w:tcPr>
            <w:tcW w:type="dxa" w:w="1440"/>
            <w:shd w:fill="00592D"/>
          </w:tcPr>
          <w:p>
            <w:pPr>
              <w:jc w:val="center"/>
            </w:pPr>
            <w:r>
              <w:rPr>
                <w:b/>
                <w:color w:val="FFFFFF"/>
              </w:rPr>
              <w:t>Propiedad</w:t>
            </w:r>
          </w:p>
        </w:tc>
        <w:tc>
          <w:tcPr>
            <w:tcW w:type="dxa" w:w="4032"/>
            <w:shd w:fill="00592D"/>
          </w:tcPr>
          <w:p>
            <w:pPr>
              <w:jc w:val="center"/>
            </w:pPr>
            <w:r>
              <w:rPr>
                <w:b/>
                <w:color w:val="FFFFFF"/>
              </w:rPr>
              <w:t>Propósito Técnico y Automatización</w:t>
            </w:r>
          </w:p>
        </w:tc>
      </w:tr>
      <w:tr>
        <w:tc>
          <w:tcPr>
            <w:tcW w:type="dxa" w:w="2160"/>
            <w:shd w:fill="FFFFFF"/>
          </w:tcPr>
          <w:p>
            <w:pPr>
              <w:spacing w:before="80" w:after="80"/>
            </w:pPr>
            <w:r>
              <w:t>Empleado</w:t>
            </w:r>
          </w:p>
        </w:tc>
        <w:tc>
          <w:tcPr>
            <w:tcW w:type="dxa" w:w="1728"/>
            <w:shd w:fill="FFFFFF"/>
          </w:tcPr>
          <w:p>
            <w:pPr>
              <w:spacing w:before="80" w:after="80"/>
            </w:pPr>
            <w:r>
              <w:t>Entidad Maestra</w:t>
            </w:r>
          </w:p>
        </w:tc>
        <w:tc>
          <w:tcPr>
            <w:tcW w:type="dxa" w:w="1440"/>
            <w:shd w:fill="FFFFFF"/>
          </w:tcPr>
          <w:p>
            <w:pPr>
              <w:spacing w:before="80" w:after="80"/>
              <w:jc w:val="center"/>
            </w:pPr>
            <w:r>
              <w:t>Solo Lectura</w:t>
            </w:r>
          </w:p>
        </w:tc>
        <w:tc>
          <w:tcPr>
            <w:tcW w:type="dxa" w:w="4032"/>
            <w:shd w:fill="FFFFFF"/>
          </w:tcPr>
          <w:p>
            <w:pPr>
              <w:spacing w:before="80" w:after="80"/>
            </w:pPr>
            <w:r>
              <w:t>Asignado automáticamente mediante expresión 'On Enter' con el ID del creador del caso.</w:t>
            </w:r>
          </w:p>
        </w:tc>
      </w:tr>
      <w:tr>
        <w:tc>
          <w:tcPr>
            <w:tcW w:type="dxa" w:w="2160"/>
            <w:shd w:fill="F4F7F5"/>
          </w:tcPr>
          <w:p>
            <w:pPr>
              <w:spacing w:before="80" w:after="80"/>
            </w:pPr>
            <w:r>
              <w:t>FechaSolicitud</w:t>
            </w:r>
          </w:p>
        </w:tc>
        <w:tc>
          <w:tcPr>
            <w:tcW w:type="dxa" w:w="1728"/>
            <w:shd w:fill="F4F7F5"/>
          </w:tcPr>
          <w:p>
            <w:pPr>
              <w:spacing w:before="80" w:after="80"/>
            </w:pPr>
            <w:r>
              <w:t>Date Time</w:t>
            </w:r>
          </w:p>
        </w:tc>
        <w:tc>
          <w:tcPr>
            <w:tcW w:type="dxa" w:w="1440"/>
            <w:shd w:fill="F4F7F5"/>
          </w:tcPr>
          <w:p>
            <w:pPr>
              <w:spacing w:before="80" w:after="80"/>
              <w:jc w:val="center"/>
            </w:pPr>
            <w:r>
              <w:t>Solo Lectura</w:t>
            </w:r>
          </w:p>
        </w:tc>
        <w:tc>
          <w:tcPr>
            <w:tcW w:type="dxa" w:w="4032"/>
            <w:shd w:fill="F4F7F5"/>
          </w:tcPr>
          <w:p>
            <w:pPr>
              <w:spacing w:before="80" w:after="80"/>
            </w:pPr>
            <w:r>
              <w:t>Automatizado mediante la función 'DateTime.Today'. Registra la fecha actual del sistema.</w:t>
            </w:r>
          </w:p>
        </w:tc>
      </w:tr>
      <w:tr>
        <w:tc>
          <w:tcPr>
            <w:tcW w:type="dxa" w:w="2160"/>
            <w:shd w:fill="FFFFFF"/>
          </w:tcPr>
          <w:p>
            <w:pPr>
              <w:spacing w:before="80" w:after="80"/>
            </w:pPr>
            <w:r>
              <w:t>FechaInicio</w:t>
            </w:r>
          </w:p>
        </w:tc>
        <w:tc>
          <w:tcPr>
            <w:tcW w:type="dxa" w:w="1728"/>
            <w:shd w:fill="FFFFFF"/>
          </w:tcPr>
          <w:p>
            <w:pPr>
              <w:spacing w:before="80" w:after="80"/>
            </w:pPr>
            <w:r>
              <w:t>Date Time</w:t>
            </w:r>
          </w:p>
        </w:tc>
        <w:tc>
          <w:tcPr>
            <w:tcW w:type="dxa" w:w="1440"/>
            <w:shd w:fill="FFFFFF"/>
          </w:tcPr>
          <w:p>
            <w:pPr>
              <w:spacing w:before="80" w:after="80"/>
              <w:jc w:val="center"/>
            </w:pPr>
            <w:r>
              <w:t>Obligatorio</w:t>
            </w:r>
          </w:p>
        </w:tc>
        <w:tc>
          <w:tcPr>
            <w:tcW w:type="dxa" w:w="4032"/>
            <w:shd w:fill="FFFFFF"/>
          </w:tcPr>
          <w:p>
            <w:pPr>
              <w:spacing w:before="80" w:after="80"/>
            </w:pPr>
            <w:r>
              <w:t>Fecha de inicio del periodo vacacional. Campo mandatorio ingresado por el usuario.</w:t>
            </w:r>
          </w:p>
        </w:tc>
      </w:tr>
      <w:tr>
        <w:tc>
          <w:tcPr>
            <w:tcW w:type="dxa" w:w="2160"/>
            <w:shd w:fill="F4F7F5"/>
          </w:tcPr>
          <w:p>
            <w:pPr>
              <w:spacing w:before="80" w:after="80"/>
            </w:pPr>
            <w:r>
              <w:t>FechaFinalizacion</w:t>
            </w:r>
          </w:p>
        </w:tc>
        <w:tc>
          <w:tcPr>
            <w:tcW w:type="dxa" w:w="1728"/>
            <w:shd w:fill="F4F7F5"/>
          </w:tcPr>
          <w:p>
            <w:pPr>
              <w:spacing w:before="80" w:after="80"/>
            </w:pPr>
            <w:r>
              <w:t>Date Time</w:t>
            </w:r>
          </w:p>
        </w:tc>
        <w:tc>
          <w:tcPr>
            <w:tcW w:type="dxa" w:w="1440"/>
            <w:shd w:fill="F4F7F5"/>
          </w:tcPr>
          <w:p>
            <w:pPr>
              <w:spacing w:before="80" w:after="80"/>
              <w:jc w:val="center"/>
            </w:pPr>
            <w:r>
              <w:t>Obligatorio</w:t>
            </w:r>
          </w:p>
        </w:tc>
        <w:tc>
          <w:tcPr>
            <w:tcW w:type="dxa" w:w="4032"/>
            <w:shd w:fill="F4F7F5"/>
          </w:tcPr>
          <w:p>
            <w:pPr>
              <w:spacing w:before="80" w:after="80"/>
            </w:pPr>
            <w:r>
              <w:t>Fecha de culminación del periodo vacacional. Entrada obligatoria.</w:t>
            </w:r>
          </w:p>
        </w:tc>
      </w:tr>
      <w:tr>
        <w:tc>
          <w:tcPr>
            <w:tcW w:type="dxa" w:w="2160"/>
            <w:shd w:fill="FFFFFF"/>
          </w:tcPr>
          <w:p>
            <w:pPr>
              <w:spacing w:before="80" w:after="80"/>
            </w:pPr>
            <w:r>
              <w:t>DiasLaboralesSol</w:t>
            </w:r>
          </w:p>
        </w:tc>
        <w:tc>
          <w:tcPr>
            <w:tcW w:type="dxa" w:w="1728"/>
            <w:shd w:fill="FFFFFF"/>
          </w:tcPr>
          <w:p>
            <w:pPr>
              <w:spacing w:before="80" w:after="80"/>
            </w:pPr>
            <w:r>
              <w:t>Integer</w:t>
            </w:r>
          </w:p>
        </w:tc>
        <w:tc>
          <w:tcPr>
            <w:tcW w:type="dxa" w:w="1440"/>
            <w:shd w:fill="FFFFFF"/>
          </w:tcPr>
          <w:p>
            <w:pPr>
              <w:spacing w:before="80" w:after="80"/>
              <w:jc w:val="center"/>
            </w:pPr>
            <w:r>
              <w:t>Obligatorio</w:t>
            </w:r>
          </w:p>
        </w:tc>
        <w:tc>
          <w:tcPr>
            <w:tcW w:type="dxa" w:w="4032"/>
            <w:shd w:fill="FFFFFF"/>
          </w:tcPr>
          <w:p>
            <w:pPr>
              <w:spacing w:before="80" w:after="80"/>
            </w:pPr>
            <w:r>
              <w:t>Cantidad neta de días hábiles solicitados para gozar de descanso.</w:t>
            </w:r>
          </w:p>
        </w:tc>
      </w:tr>
      <w:tr>
        <w:tc>
          <w:tcPr>
            <w:tcW w:type="dxa" w:w="2160"/>
            <w:shd w:fill="F4F7F5"/>
          </w:tcPr>
          <w:p>
            <w:pPr>
              <w:spacing w:before="80" w:after="80"/>
            </w:pPr>
            <w:r>
              <w:t>DiasDisponibles</w:t>
            </w:r>
          </w:p>
        </w:tc>
        <w:tc>
          <w:tcPr>
            <w:tcW w:type="dxa" w:w="1728"/>
            <w:shd w:fill="F4F7F5"/>
          </w:tcPr>
          <w:p>
            <w:pPr>
              <w:spacing w:before="80" w:after="80"/>
            </w:pPr>
            <w:r>
              <w:t>Integer</w:t>
            </w:r>
          </w:p>
        </w:tc>
        <w:tc>
          <w:tcPr>
            <w:tcW w:type="dxa" w:w="1440"/>
            <w:shd w:fill="F4F7F5"/>
          </w:tcPr>
          <w:p>
            <w:pPr>
              <w:spacing w:before="80" w:after="80"/>
              <w:jc w:val="center"/>
            </w:pPr>
            <w:r>
              <w:t>Solo Lectura</w:t>
            </w:r>
          </w:p>
        </w:tc>
        <w:tc>
          <w:tcPr>
            <w:tcW w:type="dxa" w:w="4032"/>
            <w:shd w:fill="F4F7F5"/>
          </w:tcPr>
          <w:p>
            <w:pPr>
              <w:spacing w:before="80" w:after="80"/>
            </w:pPr>
            <w:r>
              <w:t>Atributo informativo que muestra el saldo actual de días de vacaciones del Empleado.</w:t>
            </w:r>
          </w:p>
        </w:tc>
      </w:tr>
      <w:tr>
        <w:tc>
          <w:tcPr>
            <w:tcW w:type="dxa" w:w="2160"/>
            <w:shd w:fill="FFFFFF"/>
          </w:tcPr>
          <w:p>
            <w:pPr>
              <w:spacing w:before="80" w:after="80"/>
            </w:pPr>
            <w:r>
              <w:t>NombreSupervisor</w:t>
            </w:r>
          </w:p>
        </w:tc>
        <w:tc>
          <w:tcPr>
            <w:tcW w:type="dxa" w:w="1728"/>
            <w:shd w:fill="FFFFFF"/>
          </w:tcPr>
          <w:p>
            <w:pPr>
              <w:spacing w:before="80" w:after="80"/>
            </w:pPr>
            <w:r>
              <w:t>String (150)</w:t>
            </w:r>
          </w:p>
        </w:tc>
        <w:tc>
          <w:tcPr>
            <w:tcW w:type="dxa" w:w="1440"/>
            <w:shd w:fill="FFFFFF"/>
          </w:tcPr>
          <w:p>
            <w:pPr>
              <w:spacing w:before="80" w:after="80"/>
              <w:jc w:val="center"/>
            </w:pPr>
            <w:r>
              <w:t>Solo Lectura</w:t>
            </w:r>
          </w:p>
        </w:tc>
        <w:tc>
          <w:tcPr>
            <w:tcW w:type="dxa" w:w="4032"/>
            <w:shd w:fill="FFFFFF"/>
          </w:tcPr>
          <w:p>
            <w:pPr>
              <w:spacing w:before="80" w:after="80"/>
            </w:pPr>
            <w:r>
              <w:t>Atributo cargado automáticamente que despliega el nombre del jefe inmediato.</w:t>
            </w:r>
          </w:p>
        </w:tc>
      </w:tr>
      <w:tr>
        <w:tc>
          <w:tcPr>
            <w:tcW w:type="dxa" w:w="2160"/>
            <w:shd w:fill="F4F7F5"/>
          </w:tcPr>
          <w:p>
            <w:pPr>
              <w:spacing w:before="80" w:after="80"/>
            </w:pPr>
            <w:r>
              <w:t>Aprobado</w:t>
            </w:r>
          </w:p>
        </w:tc>
        <w:tc>
          <w:tcPr>
            <w:tcW w:type="dxa" w:w="1728"/>
            <w:shd w:fill="F4F7F5"/>
          </w:tcPr>
          <w:p>
            <w:pPr>
              <w:spacing w:before="80" w:after="80"/>
            </w:pPr>
            <w:r>
              <w:t>Boolean</w:t>
            </w:r>
          </w:p>
        </w:tc>
        <w:tc>
          <w:tcPr>
            <w:tcW w:type="dxa" w:w="1440"/>
            <w:shd w:fill="F4F7F5"/>
          </w:tcPr>
          <w:p>
            <w:pPr>
              <w:spacing w:before="80" w:after="80"/>
              <w:jc w:val="center"/>
            </w:pPr>
            <w:r>
              <w:t>Obligatorio</w:t>
            </w:r>
          </w:p>
        </w:tc>
        <w:tc>
          <w:tcPr>
            <w:tcW w:type="dxa" w:w="4032"/>
            <w:shd w:fill="F4F7F5"/>
          </w:tcPr>
          <w:p>
            <w:pPr>
              <w:spacing w:before="80" w:after="80"/>
            </w:pPr>
            <w:r>
              <w:t>Campo tipo bandera (True/False) controlado por el Supervisor mediante controles interactivos.</w:t>
            </w:r>
          </w:p>
        </w:tc>
      </w:tr>
      <w:tr>
        <w:tc>
          <w:tcPr>
            <w:tcW w:type="dxa" w:w="2160"/>
            <w:shd w:fill="FFFFFF"/>
          </w:tcPr>
          <w:p>
            <w:pPr>
              <w:spacing w:before="80" w:after="80"/>
            </w:pPr>
            <w:r>
              <w:t>ComentariosJustif</w:t>
            </w:r>
          </w:p>
        </w:tc>
        <w:tc>
          <w:tcPr>
            <w:tcW w:type="dxa" w:w="1728"/>
            <w:shd w:fill="FFFFFF"/>
          </w:tcPr>
          <w:p>
            <w:pPr>
              <w:spacing w:before="80" w:after="80"/>
            </w:pPr>
            <w:r>
              <w:t>String (500)</w:t>
            </w:r>
          </w:p>
        </w:tc>
        <w:tc>
          <w:tcPr>
            <w:tcW w:type="dxa" w:w="1440"/>
            <w:shd w:fill="FFFFFF"/>
          </w:tcPr>
          <w:p>
            <w:pPr>
              <w:spacing w:before="80" w:after="80"/>
              <w:jc w:val="center"/>
            </w:pPr>
            <w:r>
              <w:t>Condicional</w:t>
            </w:r>
          </w:p>
        </w:tc>
        <w:tc>
          <w:tcPr>
            <w:tcW w:type="dxa" w:w="4032"/>
            <w:shd w:fill="FFFFFF"/>
          </w:tcPr>
          <w:p>
            <w:pPr>
              <w:spacing w:before="80" w:after="80"/>
            </w:pPr>
            <w:r>
              <w:t>Justificación obligatoria si la decisión del Supervisor es Rechazado (False).</w:t>
            </w:r>
          </w:p>
        </w:tc>
      </w:tr>
    </w:tbl>
    <w:p>
      <w:pPr>
        <w:spacing w:before="280" w:after="280"/>
        <w:jc w:val="center"/>
      </w:pPr>
      <w:r>
        <w:rPr>
          <w:b/>
          <w:i/>
          <w:color w:val="2C3E50"/>
        </w:rPr>
        <w:br/>
        <w:t>===========================================================</w:t>
        <w:br/>
        <w:t>[INSERTAR AQUÍ CAPTURA DEL MODELO ENTIDAD-RELACIÓN DESDE BIZAGI STUDIO]</w:t>
        <w:br/>
        <w:t>===========================================================</w:t>
        <w:br/>
      </w:r>
    </w:p>
    <w:p>
      <w:pPr>
        <w:pStyle w:val="Heading1"/>
        <w:keepNext/>
        <w:spacing w:before="280" w:after="120"/>
      </w:pPr>
      <w:r>
        <w:rPr>
          <w:rFonts w:ascii="Calibri" w:hAnsi="Calibri"/>
          <w:b/>
          <w:color w:val="00592D"/>
          <w:sz w:val="36"/>
        </w:rPr>
        <w:t>3. Diseño de Formas (Interfaces de Usuario Dinámicas)</w:t>
      </w:r>
    </w:p>
    <w:p>
      <w:pPr>
        <w:spacing w:after="200" w:line="276" w:lineRule="auto"/>
      </w:pPr>
      <w:r>
        <w:t>Las interfaces visuales del portal web (Work Portal) fueron diseñadas aplicando controles e invariantes lógicas estrictas para blindar los datos contra manipulaciones indebidas o ingresos erróneos. Se estructuran tres formularios clave:</w:t>
      </w:r>
    </w:p>
    <w:p>
      <w:pPr>
        <w:pStyle w:val="ListBullet"/>
        <w:spacing w:after="200" w:line="276" w:lineRule="auto"/>
      </w:pPr>
      <w:r>
        <w:t>■ Interfaz de Registro de Solicitud (Formulario del Empleado):</w:t>
      </w:r>
    </w:p>
    <w:p>
      <w:pPr>
        <w:spacing w:after="80" w:line="276" w:lineRule="auto"/>
      </w:pPr>
      <w:r>
        <w:t>Al instanciarse el caso, la interfaz aplica restricciones de edición (Editable = Falso) para los campos 'Empleado' y 'Fecha de solicitud'. Esto asegura la inmutabilidad de los datos de auditoría básica. Simultáneamente, se configura la propiedad obligatoria ('set' en valor positivo/True) para los campos de Fecha de inicio, Fecha de finalización y Días laborales solicitados, bloqueando el avance si se omiten.</w:t>
      </w:r>
    </w:p>
    <w:p>
      <w:pPr>
        <w:pStyle w:val="ListBullet"/>
        <w:spacing w:after="200" w:line="276" w:lineRule="auto"/>
      </w:pPr>
      <w:r>
        <w:t>■ Interfaz de Evaluación Jerárquica (Formulario del Supervisor):</w:t>
      </w:r>
    </w:p>
    <w:p>
      <w:pPr>
        <w:spacing w:after="80" w:line="276" w:lineRule="auto"/>
      </w:pPr>
      <w:r>
        <w:t>Despliega en modo de 'Solo Lectura' la información consolidada que envió el empleado, incluyendo campos informativos calculados como los 'Días disponibles' y el 'Nombre del supervisor'. Para la toma de decisiones, expone un control booleano (Aprobado). Se incorpora una regla de visibilidad e interfaz dinámica: si el supervisor selecciona 'Falso' (Rechazar), el campo 'Comentarios de Justificación' cambia automáticamente a Visible y Obligatorio, forzando la redacción del motivo del rechazo.</w:t>
      </w:r>
    </w:p>
    <w:p>
      <w:pPr>
        <w:pStyle w:val="ListBullet"/>
        <w:spacing w:after="200" w:line="276" w:lineRule="auto"/>
      </w:pPr>
      <w:r>
        <w:t>■ Interfaz de Gestión y Control (Formulario del Administrador):</w:t>
      </w:r>
    </w:p>
    <w:p>
      <w:pPr>
        <w:spacing w:after="200" w:line="276" w:lineRule="auto"/>
      </w:pPr>
      <w:r>
        <w:t>Destinada al cierre administrativo. Consolida el histórico de modificaciones y las decisiones previas de solo lectura, habilitando los campos técnicos exclusivos de confirmación de registro en sistemas centrales y auditoría de nómina.</w:t>
      </w:r>
    </w:p>
    <w:p>
      <w:pPr>
        <w:pStyle w:val="Heading1"/>
        <w:keepNext/>
        <w:spacing w:before="280" w:after="120"/>
      </w:pPr>
      <w:r>
        <w:rPr>
          <w:rFonts w:ascii="Calibri" w:hAnsi="Calibri"/>
          <w:b/>
          <w:color w:val="00592D"/>
          <w:sz w:val="36"/>
        </w:rPr>
        <w:t>4. Automatización de Valores, Expresiones y Participantes</w:t>
      </w:r>
    </w:p>
    <w:p>
      <w:pPr>
        <w:spacing w:after="200" w:line="276" w:lineRule="auto"/>
      </w:pPr>
      <w:r>
        <w:t>La inteligencia y fluidez del proceso se soportan sobre reglas lógicas avanzadas integradas en los pasos estratégicos del asistente de Bizagi Studio:</w:t>
      </w:r>
    </w:p>
    <w:p>
      <w:pPr>
        <w:pStyle w:val="Heading2"/>
        <w:keepNext/>
        <w:spacing w:before="280" w:after="120"/>
      </w:pPr>
      <w:r>
        <w:rPr>
          <w:rFonts w:ascii="Calibri" w:hAnsi="Calibri"/>
          <w:b/>
          <w:color w:val="2C3E50"/>
          <w:sz w:val="28"/>
        </w:rPr>
        <w:t>Automatización de Valores mediante Expresiones 'On Enter'</w:t>
      </w:r>
    </w:p>
    <w:p>
      <w:pPr>
        <w:spacing w:after="200" w:line="276" w:lineRule="auto"/>
      </w:pPr>
      <w:r>
        <w:t>Al momento exacto de la creación del caso (evento 'On Enter' de la actividad inicial), el sistema ejecuta una expresión de asignación automática de valores. Esto elimina por completo el error humano:</w:t>
      </w:r>
    </w:p>
    <w:p>
      <w:pPr>
        <w:pStyle w:val="ListBullet"/>
        <w:spacing w:after="200" w:line="276" w:lineRule="auto"/>
      </w:pPr>
      <w:r>
        <w:t>• Campo Empleado: Asigna dinámicamente el ID y datos del usuario web en sesión (Creador del Caso).</w:t>
      </w:r>
    </w:p>
    <w:p>
      <w:pPr>
        <w:pStyle w:val="ListBullet"/>
        <w:spacing w:after="200" w:line="276" w:lineRule="auto"/>
      </w:pPr>
      <w:r>
        <w:t>• Campo Fecha de Solicitud: Captura en caliente la fecha del servidor utilizando la función nativa DateTime.Today.</w:t>
      </w:r>
    </w:p>
    <w:p>
      <w:pPr>
        <w:pStyle w:val="Heading2"/>
        <w:keepNext/>
        <w:spacing w:before="280" w:after="120"/>
      </w:pPr>
      <w:r>
        <w:rPr>
          <w:rFonts w:ascii="Calibri" w:hAnsi="Calibri"/>
          <w:b/>
          <w:color w:val="2C3E50"/>
          <w:sz w:val="28"/>
        </w:rPr>
        <w:t>Control de Flujo mediante Compuertas de Decisión</w:t>
      </w:r>
    </w:p>
    <w:p>
      <w:pPr>
        <w:spacing w:after="200" w:line="276" w:lineRule="auto"/>
      </w:pPr>
      <w:r>
        <w:t>Para la bifurcación del camino procesal, se configuró una compuerta lógica basada en expresiones de negocio condicionales. La evaluación lee el atributo booleano 'Aprobado':</w:t>
      </w:r>
    </w:p>
    <w:p>
      <w:pPr>
        <w:pStyle w:val="ListBullet"/>
        <w:spacing w:after="200" w:line="276" w:lineRule="auto"/>
      </w:pPr>
      <w:r>
        <w:t>• Si Aprobado == Verdadero (True): El flujo avanza con éxito hacia el carril del Administrador.</w:t>
      </w:r>
    </w:p>
    <w:p>
      <w:pPr>
        <w:pStyle w:val="ListBullet"/>
        <w:spacing w:after="200" w:line="276" w:lineRule="auto"/>
      </w:pPr>
      <w:r>
        <w:t>• Si Aprobado == Falso (False): El flujo se desvía de forma automática hacia la compuerta de rechazo, regresando al Empleado para su corrección o fin.</w:t>
      </w:r>
    </w:p>
    <w:p>
      <w:pPr>
        <w:pStyle w:val="Heading2"/>
        <w:keepNext/>
        <w:spacing w:before="280" w:after="120"/>
      </w:pPr>
      <w:r>
        <w:rPr>
          <w:rFonts w:ascii="Calibri" w:hAnsi="Calibri"/>
          <w:b/>
          <w:color w:val="2C3E50"/>
          <w:sz w:val="28"/>
        </w:rPr>
        <w:t>Asignación Estratégica de Participantes (Performers)</w:t>
      </w:r>
    </w:p>
    <w:p>
      <w:pPr>
        <w:spacing w:after="200" w:line="276" w:lineRule="auto"/>
      </w:pPr>
      <w:r>
        <w:t>Para impedir que las actividades queden expuestas en una bandeja pública sin control, se definieron asignaciones fijas:</w:t>
      </w:r>
    </w:p>
    <w:p>
      <w:pPr>
        <w:pStyle w:val="ListBullet"/>
        <w:spacing w:after="200" w:line="276" w:lineRule="auto"/>
      </w:pPr>
      <w:r>
        <w:t>1. Registrar y Modificar Solicitud: Enrutado fijamente al 'Creador del Caso' (Creator).</w:t>
      </w:r>
    </w:p>
    <w:p>
      <w:pPr>
        <w:pStyle w:val="ListBullet"/>
        <w:spacing w:after="200" w:line="276" w:lineRule="auto"/>
      </w:pPr>
      <w:r>
        <w:t>2. Evaluar Solicitud: Enrutado dinámico basado en la jerarquía organizacional del usuario, dirigiéndose al Supervisor inmediato (expresión posicional u organizacional).</w:t>
      </w:r>
    </w:p>
    <w:p>
      <w:pPr>
        <w:pStyle w:val="ListBullet"/>
        <w:spacing w:after="200" w:line="276" w:lineRule="auto"/>
      </w:pPr>
      <w:r>
        <w:t>3. Procesar Novedad / Auditoría: Dirigido de forma restrictiva a los usuarios que posean explícitamente el rol de 'Administrador' del sistema.</w:t>
      </w:r>
    </w:p>
    <w:p>
      <w:pPr>
        <w:pStyle w:val="Heading1"/>
        <w:keepNext/>
        <w:spacing w:before="280" w:after="120"/>
      </w:pPr>
      <w:r>
        <w:rPr>
          <w:rFonts w:ascii="Calibri" w:hAnsi="Calibri"/>
          <w:b/>
          <w:color w:val="00592D"/>
          <w:sz w:val="36"/>
        </w:rPr>
        <w:t>5. Ejecución y Despliegue (Demostración en el Work Portal)</w:t>
      </w:r>
    </w:p>
    <w:p>
      <w:pPr>
        <w:spacing w:after="200" w:line="276" w:lineRule="auto"/>
      </w:pPr>
      <w:r>
        <w:t>La validación práctica del prototipo completamente operativo se ejecuta mediante la compilación y despliegue local o en la nube del entorno web generado automáticamente por Bizagi (Work Portal). El aseguramiento de la demo contempla:</w:t>
      </w:r>
    </w:p>
    <w:p>
      <w:pPr>
        <w:pStyle w:val="ListBullet"/>
        <w:spacing w:after="200" w:line="276" w:lineRule="auto"/>
      </w:pPr>
      <w:r>
        <w:t>• Simulación Multi-Rol en Paralelo: Apertura del sistema en diferentes navegadores web (ej. Google Chrome y Microsoft Edge en modo incógnito) para iniciar sesión con credenciales de prueba de un Empleado, un Supervisor y un Administrador de forma simultánea.</w:t>
      </w:r>
    </w:p>
    <w:p>
      <w:pPr>
        <w:pStyle w:val="ListBullet"/>
        <w:spacing w:after="200" w:line="276" w:lineRule="auto"/>
      </w:pPr>
      <w:r>
        <w:t>• Comprobación de Tareas en Tiempo Real: Verificación instantánea de cómo la bandeja de entrada de actividades ('Inbox') se actualiza en vivo al pasar el testigo del caso entre carriles tras cada pulsación del botón 'Guardar y Continuar'.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