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Calibri" w:cs="Calibri" w:eastAsia="Calibri" w:hAnsi="Calibri"/>
          <w:b/>
          <w:bCs/>
          <w:sz w:val="30"/>
          <w:szCs w:val="30"/>
        </w:rPr>
        <w:t xml:space="preserve">Diseño de un experimento empírico sobre vulnerabilidades en la refactorización de código generado por IA</w:t>
      </w:r>
    </w:p>
    <w:p>
      <w:pPr>
        <w:spacing w:after="320" w:line="276"/>
        <w:jc w:val="center"/>
      </w:pPr>
      <w:r>
        <w:rPr>
          <w:rFonts w:ascii="Calibri" w:cs="Calibri" w:eastAsia="Calibri" w:hAnsi="Calibri"/>
          <w:i/>
          <w:iCs/>
          <w:sz w:val="22"/>
          <w:szCs w:val="22"/>
        </w:rPr>
        <w:t xml:space="preserve">Propuesta metodológica en cinco fases, siguiendo el protocolo de Runeson y Höst para investigación empírica en ingeniería de software</w:t>
      </w:r>
    </w:p>
    <w:p>
      <w:pPr>
        <w:spacing w:after="200" w:line="276"/>
        <w:jc w:val="both"/>
      </w:pPr>
      <w:r>
        <w:rPr>
          <w:rFonts w:ascii="Calibri" w:cs="Calibri" w:eastAsia="Calibri" w:hAnsi="Calibri"/>
          <w:sz w:val="22"/>
          <w:szCs w:val="22"/>
        </w:rPr>
        <w:t xml:space="preserve">El código que producen los modelos de lenguaje grande rara vez sale limpio de fallos de seguridad. CodeEnhancer, el sistema de Lee et al. (2026) que combina LLMs con herramientas de análisis estático (SAST), documentó que incluso un modelo tan capaz como GPT-4o genera por defecto debilidades del CWE Top 25, entre ellas inyección de comandos (CWE-78) e inyección SQL (CWE-89). Ese hallazgo deja abierta una pregunta que la literatura sobre generación de código no responde: qué ocurre con esas vulnerabilidades cuando un desarrollador humano refactoriza ese código, lo adapta al proyecto real y lo deja listo para producción. Esta propuesta diseña un experimento para responder esa pregunta, comparando la refactorización manual con la refactorización asistida por sistemas de IA orientados a seguridad.</w:t>
      </w:r>
    </w:p>
    <w:p>
      <w:pPr>
        <w:pStyle w:val="Heading1"/>
        <w:spacing w:after="200" w:before="400"/>
      </w:pPr>
      <w:r>
        <w:t xml:space="preserve">Fase 1: Definición (Scoping)</w:t>
      </w:r>
    </w:p>
    <w:p>
      <w:pPr>
        <w:pStyle w:val="Heading2"/>
        <w:spacing w:after="160" w:before="300"/>
      </w:pPr>
      <w:r>
        <w:t xml:space="preserve">1.1 Objetivo general (plantilla GQM)</w:t>
      </w:r>
    </w:p>
    <w:p>
      <w:pPr>
        <w:spacing w:after="200" w:line="276"/>
        <w:jc w:val="both"/>
      </w:pPr>
      <w:r>
        <w:rPr>
          <w:rFonts w:ascii="Calibri" w:cs="Calibri" w:eastAsia="Calibri" w:hAnsi="Calibri"/>
          <w:sz w:val="22"/>
          <w:szCs w:val="22"/>
        </w:rPr>
        <w:t xml:space="preserve">Analizar la refactorización de código Python generado por modelos de lenguaje grande, con el propósito de comparar la cantidad de vulnerabilidades de seguridad que se introducen o se mantienen, con respecto a dos modalidades de intervención (refactorización manual y refactorización asistida por sistemas de IA orientados a seguridad), desde el punto de vista de un equipo de desarrollo que necesita decidir cómo integrar código generado por IA en un producto real, en el contexto de desarrolladores y estudiantes avanzados de ingeniería de software que trabajan sobre proyectos Python de complejidad media.</w:t>
      </w:r>
    </w:p>
    <w:p>
      <w:pPr>
        <w:pStyle w:val="Heading2"/>
        <w:spacing w:after="160" w:before="300"/>
      </w:pPr>
      <w:r>
        <w:t xml:space="preserve">1.2 Preguntas de investigación</w:t>
      </w:r>
    </w:p>
    <w:p>
      <w:pPr>
        <w:pStyle w:val="ListParagraph"/>
        <w:numPr>
          <w:ilvl w:val="0"/>
          <w:numId w:val="2"/>
        </w:numPr>
        <w:spacing w:after="120" w:line="276"/>
        <w:jc w:val="both"/>
      </w:pPr>
      <w:r>
        <w:rPr>
          <w:rFonts w:ascii="Calibri" w:cs="Calibri" w:eastAsia="Calibri" w:hAnsi="Calibri"/>
          <w:sz w:val="22"/>
          <w:szCs w:val="22"/>
        </w:rPr>
        <w:t xml:space="preserve">RQ1: ¿Cuántas vulnerabilidades de seguridad, clasificadas por categoría CWE, permanecen en el código después de la refactorización manual frente a la refactorización asistida por IA?</w:t>
      </w:r>
    </w:p>
    <w:p>
      <w:pPr>
        <w:pStyle w:val="ListParagraph"/>
        <w:numPr>
          <w:ilvl w:val="0"/>
          <w:numId w:val="2"/>
        </w:numPr>
        <w:spacing w:after="120" w:line="276"/>
        <w:jc w:val="both"/>
      </w:pPr>
      <w:r>
        <w:rPr>
          <w:rFonts w:ascii="Calibri" w:cs="Calibri" w:eastAsia="Calibri" w:hAnsi="Calibri"/>
          <w:sz w:val="22"/>
          <w:szCs w:val="22"/>
        </w:rPr>
        <w:t xml:space="preserve">RQ2: ¿Existen diferencias significativas en precisión y recall al identificar y corregir vulnerabilidades entre ambos grupos?</w:t>
      </w:r>
    </w:p>
    <w:p>
      <w:pPr>
        <w:pStyle w:val="ListParagraph"/>
        <w:numPr>
          <w:ilvl w:val="0"/>
          <w:numId w:val="2"/>
        </w:numPr>
        <w:spacing w:after="120" w:line="276"/>
        <w:jc w:val="both"/>
      </w:pPr>
      <w:r>
        <w:rPr>
          <w:rFonts w:ascii="Calibri" w:cs="Calibri" w:eastAsia="Calibri" w:hAnsi="Calibri"/>
          <w:sz w:val="22"/>
          <w:szCs w:val="22"/>
        </w:rPr>
        <w:t xml:space="preserve">RQ3: ¿Qué tasa de falsos positivos genera cada enfoque durante la validación posterior a la refactorización?</w:t>
      </w:r>
    </w:p>
    <w:p>
      <w:pPr>
        <w:pStyle w:val="ListParagraph"/>
        <w:numPr>
          <w:ilvl w:val="0"/>
          <w:numId w:val="2"/>
        </w:numPr>
        <w:spacing w:after="120" w:line="276"/>
        <w:jc w:val="both"/>
      </w:pPr>
      <w:r>
        <w:rPr>
          <w:rFonts w:ascii="Calibri" w:cs="Calibri" w:eastAsia="Calibri" w:hAnsi="Calibri"/>
          <w:sz w:val="22"/>
          <w:szCs w:val="22"/>
        </w:rPr>
        <w:t xml:space="preserve">RQ4: ¿El efecto de la asistencia de IA es uniforme entre categorías de vulnerabilidad, o varía entre fallos de patrón sintáctico y fallos lógicos o estructurales?</w:t>
      </w:r>
    </w:p>
    <w:p>
      <w:pPr>
        <w:pStyle w:val="Heading2"/>
        <w:spacing w:after="160" w:before="300"/>
      </w:pPr>
      <w:r>
        <w:t xml:space="preserve">1.3 Métricas</w:t>
      </w:r>
    </w:p>
    <w:p>
      <w:pPr>
        <w:spacing w:after="120" w:line="276"/>
        <w:jc w:val="both"/>
      </w:pPr>
      <w:r>
        <w:rPr>
          <w:rFonts w:ascii="Calibri" w:cs="Calibri" w:eastAsia="Calibri" w:hAnsi="Calibri"/>
          <w:sz w:val="22"/>
          <w:szCs w:val="22"/>
        </w:rPr>
        <w:t xml:space="preserve">Utilizaremos las siguientes métricas:</w:t>
      </w:r>
    </w:p>
    <w:p>
      <w:pPr>
        <w:pStyle w:val="ListParagraph"/>
        <w:numPr>
          <w:ilvl w:val="0"/>
          <w:numId w:val="2"/>
        </w:numPr>
        <w:spacing w:after="120" w:line="276"/>
        <w:jc w:val="both"/>
      </w:pPr>
      <w:r>
        <w:rPr>
          <w:rFonts w:ascii="Calibri" w:cs="Calibri" w:eastAsia="Calibri" w:hAnsi="Calibri"/>
          <w:b/>
          <w:bCs/>
          <w:i w:val="false"/>
          <w:iCs w:val="false"/>
          <w:sz w:val="22"/>
          <w:szCs w:val="22"/>
        </w:rPr>
        <w:t xml:space="preserve">Precisión y exhaustividad (recall): </w:t>
      </w:r>
      <w:r>
        <w:rPr>
          <w:rFonts w:ascii="Calibri" w:cs="Calibri" w:eastAsia="Calibri" w:hAnsi="Calibri"/>
          <w:b w:val="false"/>
          <w:bCs w:val="false"/>
          <w:i w:val="false"/>
          <w:iCs w:val="false"/>
          <w:sz w:val="22"/>
          <w:szCs w:val="22"/>
        </w:rPr>
        <w:t xml:space="preserve">calidad de la detección de vulnerabilidades en ambos grupos.</w:t>
      </w:r>
    </w:p>
    <w:p>
      <w:pPr>
        <w:pStyle w:val="ListParagraph"/>
        <w:numPr>
          <w:ilvl w:val="0"/>
          <w:numId w:val="2"/>
        </w:numPr>
        <w:spacing w:after="120" w:line="276"/>
        <w:jc w:val="both"/>
      </w:pPr>
      <w:r>
        <w:rPr>
          <w:rFonts w:ascii="Calibri" w:cs="Calibri" w:eastAsia="Calibri" w:hAnsi="Calibri"/>
          <w:b/>
          <w:bCs/>
          <w:i w:val="false"/>
          <w:iCs w:val="false"/>
          <w:sz w:val="22"/>
          <w:szCs w:val="22"/>
        </w:rPr>
        <w:t xml:space="preserve">F1-score: </w:t>
      </w:r>
      <w:r>
        <w:rPr>
          <w:rFonts w:ascii="Calibri" w:cs="Calibri" w:eastAsia="Calibri" w:hAnsi="Calibri"/>
          <w:b w:val="false"/>
          <w:bCs w:val="false"/>
          <w:i w:val="false"/>
          <w:iCs w:val="false"/>
          <w:sz w:val="22"/>
          <w:szCs w:val="22"/>
        </w:rPr>
        <w:t xml:space="preserve">medida balanceada entre precisión y recall, calculada para cada modelo generador y cada modalidad de refactorización.</w:t>
      </w:r>
    </w:p>
    <w:p>
      <w:pPr>
        <w:pStyle w:val="ListParagraph"/>
        <w:numPr>
          <w:ilvl w:val="0"/>
          <w:numId w:val="2"/>
        </w:numPr>
        <w:spacing w:after="120" w:line="276"/>
        <w:jc w:val="both"/>
      </w:pPr>
      <w:r>
        <w:rPr>
          <w:rFonts w:ascii="Calibri" w:cs="Calibri" w:eastAsia="Calibri" w:hAnsi="Calibri"/>
          <w:b/>
          <w:bCs/>
          <w:i w:val="false"/>
          <w:iCs w:val="false"/>
          <w:sz w:val="22"/>
          <w:szCs w:val="22"/>
        </w:rPr>
        <w:t xml:space="preserve">Tasa de falsos positivos (FPR): </w:t>
      </w:r>
      <w:r>
        <w:rPr>
          <w:rFonts w:ascii="Calibri" w:cs="Calibri" w:eastAsia="Calibri" w:hAnsi="Calibri"/>
          <w:b w:val="false"/>
          <w:bCs w:val="false"/>
          <w:i w:val="false"/>
          <w:iCs w:val="false"/>
          <w:sz w:val="22"/>
          <w:szCs w:val="22"/>
        </w:rPr>
        <w:t xml:space="preserve">proporción de alertas de vulnerabilidad que no corresponden a fallos reales.</w:t>
      </w:r>
    </w:p>
    <w:p>
      <w:pPr>
        <w:pStyle w:val="ListParagraph"/>
        <w:numPr>
          <w:ilvl w:val="0"/>
          <w:numId w:val="2"/>
        </w:numPr>
        <w:spacing w:after="120" w:line="276"/>
        <w:jc w:val="both"/>
      </w:pPr>
      <w:r>
        <w:rPr>
          <w:rFonts w:ascii="Calibri" w:cs="Calibri" w:eastAsia="Calibri" w:hAnsi="Calibri"/>
          <w:b/>
          <w:bCs/>
          <w:i w:val="false"/>
          <w:iCs w:val="false"/>
          <w:sz w:val="22"/>
          <w:szCs w:val="22"/>
        </w:rPr>
        <w:t xml:space="preserve">Reducción porcentual de código vulnerable: </w:t>
      </w:r>
      <w:r>
        <w:rPr>
          <w:rFonts w:ascii="Calibri" w:cs="Calibri" w:eastAsia="Calibri" w:hAnsi="Calibri"/>
          <w:b w:val="false"/>
          <w:bCs w:val="false"/>
          <w:i w:val="false"/>
          <w:iCs w:val="false"/>
          <w:sz w:val="22"/>
          <w:szCs w:val="22"/>
        </w:rPr>
        <w:t xml:space="preserve">porcentaje de fragmentos con al menos una vulnerabilidad, medido antes y después de la refactorización.</w:t>
      </w:r>
    </w:p>
    <w:p>
      <w:pPr>
        <w:pStyle w:val="ListParagraph"/>
        <w:numPr>
          <w:ilvl w:val="0"/>
          <w:numId w:val="2"/>
        </w:numPr>
        <w:spacing w:after="120" w:line="276"/>
        <w:jc w:val="both"/>
      </w:pPr>
      <w:r>
        <w:rPr>
          <w:rFonts w:ascii="Calibri" w:cs="Calibri" w:eastAsia="Calibri" w:hAnsi="Calibri"/>
          <w:b/>
          <w:bCs/>
          <w:i w:val="false"/>
          <w:iCs w:val="false"/>
          <w:sz w:val="22"/>
          <w:szCs w:val="22"/>
        </w:rPr>
        <w:t xml:space="preserve">Tasa de éxito de reparación estática: </w:t>
      </w:r>
      <w:r>
        <w:rPr>
          <w:rFonts w:ascii="Calibri" w:cs="Calibri" w:eastAsia="Calibri" w:hAnsi="Calibri"/>
          <w:b w:val="false"/>
          <w:bCs w:val="false"/>
          <w:i w:val="false"/>
          <w:iCs w:val="false"/>
          <w:sz w:val="22"/>
          <w:szCs w:val="22"/>
        </w:rPr>
        <w:t xml:space="preserve">proporción de problemas reportados por SonarQube que se resuelven sin romper la sintaxis del código.</w:t>
      </w:r>
    </w:p>
    <w:p>
      <w:pPr>
        <w:pStyle w:val="Heading2"/>
        <w:spacing w:after="160" w:before="300"/>
      </w:pPr>
      <w:r>
        <w:t xml:space="preserve">1.4 Hipótesis</w:t>
      </w:r>
    </w:p>
    <w:p>
      <w:pPr>
        <w:spacing w:after="200" w:line="276"/>
        <w:jc w:val="both"/>
      </w:pPr>
      <w:r>
        <w:rPr>
          <w:rFonts w:ascii="Calibri" w:cs="Calibri" w:eastAsia="Calibri" w:hAnsi="Calibri"/>
          <w:b/>
          <w:bCs/>
          <w:i w:val="false"/>
          <w:iCs w:val="false"/>
          <w:sz w:val="22"/>
          <w:szCs w:val="22"/>
        </w:rPr>
        <w:t xml:space="preserve">H0: </w:t>
      </w:r>
      <w:r>
        <w:rPr>
          <w:rFonts w:ascii="Calibri" w:cs="Calibri" w:eastAsia="Calibri" w:hAnsi="Calibri"/>
          <w:b w:val="false"/>
          <w:bCs w:val="false"/>
          <w:i w:val="false"/>
          <w:iCs w:val="false"/>
          <w:sz w:val="22"/>
          <w:szCs w:val="22"/>
        </w:rPr>
        <w:t xml:space="preserve">no existe una diferencia estadísticamente significativa en la cantidad de vulnerabilidades de seguridad introducidas o mantenidas entre el código refactorizado manualmente y el código refactorizado con asistencia de sistemas de IA orientados a seguridad.</w:t>
      </w:r>
    </w:p>
    <w:p>
      <w:pPr>
        <w:spacing w:after="200" w:line="276"/>
        <w:jc w:val="both"/>
      </w:pPr>
      <w:r>
        <w:rPr>
          <w:rFonts w:ascii="Calibri" w:cs="Calibri" w:eastAsia="Calibri" w:hAnsi="Calibri"/>
          <w:b/>
          <w:bCs/>
          <w:i w:val="false"/>
          <w:iCs w:val="false"/>
          <w:sz w:val="22"/>
          <w:szCs w:val="22"/>
        </w:rPr>
        <w:t xml:space="preserve">H1: </w:t>
      </w:r>
      <w:r>
        <w:rPr>
          <w:rFonts w:ascii="Calibri" w:cs="Calibri" w:eastAsia="Calibri" w:hAnsi="Calibri"/>
          <w:b w:val="false"/>
          <w:bCs w:val="false"/>
          <w:i w:val="false"/>
          <w:iCs w:val="false"/>
          <w:sz w:val="22"/>
          <w:szCs w:val="22"/>
        </w:rPr>
        <w:t xml:space="preserve">sí existe una diferencia estadísticamente significativa entre ambas condiciones.</w:t>
      </w:r>
    </w:p>
    <w:p>
      <w:pPr>
        <w:spacing w:after="200" w:line="276"/>
        <w:jc w:val="both"/>
      </w:pPr>
      <w:r>
        <w:rPr>
          <w:rFonts w:ascii="Calibri" w:cs="Calibri" w:eastAsia="Calibri" w:hAnsi="Calibri"/>
          <w:sz w:val="22"/>
          <w:szCs w:val="22"/>
        </w:rPr>
        <w:t xml:space="preserve">El nivel de significancia se fija en α = 0.05.</w:t>
      </w:r>
    </w:p>
    <w:p>
      <w:pPr>
        <w:pStyle w:val="Heading2"/>
        <w:spacing w:after="160" w:before="300"/>
      </w:pPr>
      <w:r>
        <w:t xml:space="preserve">1.5 Variables independientes y dependientes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60"/>
        <w:gridCol w:w="4900"/>
      </w:tblGrid>
      <w:tr>
        <w:trPr>
          <w:tblHeader/>
        </w:trPr>
        <w:tc>
          <w:tcPr>
            <w:tcW w:type="dxa" w:w="1600"/>
            <w:shd w:fill="E7E6E6" w:val="clear"/>
            <w:tcMar>
              <w:top w:type="dxa" w:w="100"/>
              <w:left w:type="dxa" w:w="120"/>
              <w:bottom w:type="dxa" w:w="100"/>
              <w:right w:type="dxa" w:w="120"/>
            </w:tcMar>
          </w:tcPr>
          <w:p>
            <w:pPr>
              <w:spacing w:line="260"/>
            </w:pPr>
            <w:r>
              <w:rPr>
                <w:rFonts w:ascii="Calibri" w:cs="Calibri" w:eastAsia="Calibri" w:hAnsi="Calibri"/>
                <w:b/>
                <w:bCs/>
                <w:sz w:val="20"/>
                <w:szCs w:val="20"/>
              </w:rPr>
              <w:t xml:space="preserve">Tipo</w:t>
            </w:r>
          </w:p>
        </w:tc>
        <w:tc>
          <w:tcPr>
            <w:tcW w:type="dxa" w:w="2860"/>
            <w:shd w:fill="E7E6E6" w:val="clear"/>
            <w:tcMar>
              <w:top w:type="dxa" w:w="100"/>
              <w:left w:type="dxa" w:w="120"/>
              <w:bottom w:type="dxa" w:w="100"/>
              <w:right w:type="dxa" w:w="120"/>
            </w:tcMar>
          </w:tcPr>
          <w:p>
            <w:pPr>
              <w:spacing w:line="260"/>
            </w:pPr>
            <w:r>
              <w:rPr>
                <w:rFonts w:ascii="Calibri" w:cs="Calibri" w:eastAsia="Calibri" w:hAnsi="Calibri"/>
                <w:b/>
                <w:bCs/>
                <w:sz w:val="20"/>
                <w:szCs w:val="20"/>
              </w:rPr>
              <w:t xml:space="preserve">Variable</w:t>
            </w:r>
          </w:p>
        </w:tc>
        <w:tc>
          <w:tcPr>
            <w:tcW w:type="dxa" w:w="4900"/>
            <w:shd w:fill="E7E6E6" w:val="clear"/>
            <w:tcMar>
              <w:top w:type="dxa" w:w="100"/>
              <w:left w:type="dxa" w:w="120"/>
              <w:bottom w:type="dxa" w:w="100"/>
              <w:right w:type="dxa" w:w="120"/>
            </w:tcMar>
          </w:tcPr>
          <w:p>
            <w:pPr>
              <w:spacing w:line="260"/>
            </w:pPr>
            <w:r>
              <w:rPr>
                <w:rFonts w:ascii="Calibri" w:cs="Calibri" w:eastAsia="Calibri" w:hAnsi="Calibri"/>
                <w:b/>
                <w:bCs/>
                <w:sz w:val="20"/>
                <w:szCs w:val="20"/>
              </w:rPr>
              <w:t xml:space="preserve">Rol en el diseño</w:t>
            </w:r>
          </w:p>
        </w:tc>
      </w:tr>
      <w:tr>
        <w:tc>
          <w:tcPr>
            <w:tcW w:type="dxa" w:w="160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Independiente</w:t>
            </w:r>
          </w:p>
        </w:tc>
        <w:tc>
          <w:tcPr>
            <w:tcW w:type="dxa" w:w="286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Modalidad de refactorización (manual / asistida por IA con SAST)</w:t>
            </w:r>
          </w:p>
        </w:tc>
        <w:tc>
          <w:tcPr>
            <w:tcW w:type="dxa" w:w="490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Intervención cuyo efecto se aísla; variable de dos niveles.</w:t>
            </w:r>
          </w:p>
        </w:tc>
      </w:tr>
      <w:tr>
        <w:tc>
          <w:tcPr>
            <w:tcW w:type="dxa" w:w="160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Independiente (control)</w:t>
            </w:r>
          </w:p>
        </w:tc>
        <w:tc>
          <w:tcPr>
            <w:tcW w:type="dxa" w:w="286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Modelo LLM usado para generar el código base; categoría CWE del fragmento</w:t>
            </w:r>
          </w:p>
        </w:tc>
        <w:tc>
          <w:tcPr>
            <w:tcW w:type="dxa" w:w="490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Se registra para evitar que las diferencias entre grupos se atribuyan al generador y no a la refactorización.</w:t>
            </w:r>
          </w:p>
        </w:tc>
      </w:tr>
      <w:tr>
        <w:tc>
          <w:tcPr>
            <w:tcW w:type="dxa" w:w="160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Dependiente</w:t>
            </w:r>
          </w:p>
        </w:tc>
        <w:tc>
          <w:tcPr>
            <w:tcW w:type="dxa" w:w="286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Número de vulnerabilidades por categoría CWE antes y después de refactorizar</w:t>
            </w:r>
          </w:p>
        </w:tc>
        <w:tc>
          <w:tcPr>
            <w:tcW w:type="dxa" w:w="490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Variable de resultado directa de la hipótesis, desglosada por CWE Top 25.</w:t>
            </w:r>
          </w:p>
        </w:tc>
      </w:tr>
      <w:tr>
        <w:tc>
          <w:tcPr>
            <w:tcW w:type="dxa" w:w="160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Dependiente</w:t>
            </w:r>
          </w:p>
        </w:tc>
        <w:tc>
          <w:tcPr>
            <w:tcW w:type="dxa" w:w="286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Precisión, recall, F1-score y FPR de la detección posterior</w:t>
            </w:r>
          </w:p>
        </w:tc>
        <w:tc>
          <w:tcPr>
            <w:tcW w:type="dxa" w:w="4900"/>
            <w:tcMar>
              <w:top w:type="dxa" w:w="100"/>
              <w:left w:type="dxa" w:w="120"/>
              <w:bottom w:type="dxa" w:w="100"/>
              <w:right w:type="dxa" w:w="120"/>
            </w:tcMar>
          </w:tcPr>
          <w:p>
            <w:pPr>
              <w:spacing w:line="260"/>
            </w:pPr>
            <w:r>
              <w:rPr>
                <w:rFonts w:ascii="Calibri" w:cs="Calibri" w:eastAsia="Calibri" w:hAnsi="Calibri"/>
                <w:b w:val="false"/>
                <w:bCs w:val="false"/>
                <w:sz w:val="20"/>
                <w:szCs w:val="20"/>
              </w:rPr>
              <w:t xml:space="preserve">Conjunto de métricas de la detección tras la refactorización.</w:t>
            </w:r>
          </w:p>
        </w:tc>
      </w:tr>
    </w:tbl>
    <w:p>
      <w:pPr>
        <w:spacing w:after="240"/>
      </w:pPr>
    </w:p>
    <w:p>
      <w:pPr>
        <w:pStyle w:val="Heading1"/>
        <w:spacing w:after="200" w:before="400"/>
      </w:pPr>
      <w:r>
        <w:t xml:space="preserve">Fase 2: Planificación (Planning)</w:t>
      </w:r>
    </w:p>
    <w:p>
      <w:pPr>
        <w:pStyle w:val="Heading2"/>
        <w:spacing w:after="160" w:before="300"/>
      </w:pPr>
      <w:r>
        <w:t xml:space="preserve">2.1 Selección de sujetos y contexto</w:t>
      </w:r>
    </w:p>
    <w:p>
      <w:pPr>
        <w:spacing w:after="200" w:line="276"/>
        <w:jc w:val="both"/>
      </w:pPr>
      <w:r>
        <w:rPr>
          <w:rFonts w:ascii="Calibri" w:cs="Calibri" w:eastAsia="Calibri" w:hAnsi="Calibri"/>
          <w:sz w:val="22"/>
          <w:szCs w:val="22"/>
        </w:rPr>
        <w:t xml:space="preserve">Proponemos una muestra mixta de entre 20 y 30 participantes: estudiantes avanzados de ingeniería de software con al menos un curso previo de Python, complementados en la medida de lo posible con desarrolladores profesionales. Este tamaño y esta composición son habituales en estudios de este tipo (Nembhard et al., 2019). Registraremos la experiencia declarada de cada participante mediante una escala Likert, para poder balancear los grupos según nivel de experiencia.</w:t>
      </w:r>
    </w:p>
    <w:p>
      <w:pPr>
        <w:pStyle w:val="Heading2"/>
        <w:spacing w:after="160" w:before="300"/>
      </w:pPr>
      <w:r>
        <w:t xml:space="preserve">2.2 Diseño del experimento</w:t>
      </w:r>
    </w:p>
    <w:p>
      <w:pPr>
        <w:spacing w:after="120" w:line="276"/>
        <w:jc w:val="both"/>
      </w:pPr>
      <w:r>
        <w:rPr>
          <w:rFonts w:ascii="Calibri" w:cs="Calibri" w:eastAsia="Calibri" w:hAnsi="Calibri"/>
          <w:sz w:val="22"/>
          <w:szCs w:val="22"/>
        </w:rPr>
        <w:t xml:space="preserve">El experimento usa un diseño A/B de dos grupos independientes:</w:t>
      </w:r>
    </w:p>
    <w:p>
      <w:pPr>
        <w:pStyle w:val="ListParagraph"/>
        <w:numPr>
          <w:ilvl w:val="0"/>
          <w:numId w:val="2"/>
        </w:numPr>
        <w:spacing w:after="120" w:line="276"/>
        <w:jc w:val="both"/>
      </w:pPr>
      <w:r>
        <w:rPr>
          <w:rFonts w:ascii="Calibri" w:cs="Calibri" w:eastAsia="Calibri" w:hAnsi="Calibri"/>
          <w:b/>
          <w:bCs/>
          <w:i w:val="false"/>
          <w:iCs w:val="false"/>
          <w:sz w:val="22"/>
          <w:szCs w:val="22"/>
        </w:rPr>
        <w:t xml:space="preserve">Grupo de control (refactorización manual): </w:t>
      </w:r>
      <w:r>
        <w:rPr>
          <w:rFonts w:ascii="Calibri" w:cs="Calibri" w:eastAsia="Calibri" w:hAnsi="Calibri"/>
          <w:b w:val="false"/>
          <w:bCs w:val="false"/>
          <w:i w:val="false"/>
          <w:iCs w:val="false"/>
          <w:sz w:val="22"/>
          <w:szCs w:val="22"/>
        </w:rPr>
        <w:t xml:space="preserve">los participantes refactorizan el código usando únicamente su editor o IDE y la documentación estándar del lenguaje, sin ninguna herramienta automática de seguridad.</w:t>
      </w:r>
    </w:p>
    <w:p>
      <w:pPr>
        <w:pStyle w:val="ListParagraph"/>
        <w:numPr>
          <w:ilvl w:val="0"/>
          <w:numId w:val="2"/>
        </w:numPr>
        <w:spacing w:after="120" w:line="276"/>
        <w:jc w:val="both"/>
      </w:pPr>
      <w:r>
        <w:rPr>
          <w:rFonts w:ascii="Calibri" w:cs="Calibri" w:eastAsia="Calibri" w:hAnsi="Calibri"/>
          <w:b/>
          <w:bCs/>
          <w:i w:val="false"/>
          <w:iCs w:val="false"/>
          <w:sz w:val="22"/>
          <w:szCs w:val="22"/>
        </w:rPr>
        <w:t xml:space="preserve">Grupo experimental (refactorización asistida por IA): </w:t>
      </w:r>
      <w:r>
        <w:rPr>
          <w:rFonts w:ascii="Calibri" w:cs="Calibri" w:eastAsia="Calibri" w:hAnsi="Calibri"/>
          <w:b w:val="false"/>
          <w:bCs w:val="false"/>
          <w:i w:val="false"/>
          <w:iCs w:val="false"/>
          <w:sz w:val="22"/>
          <w:szCs w:val="22"/>
        </w:rPr>
        <w:t xml:space="preserve">los participantes refactorizan el mismo conjunto de muestras usando un sistema que integra un LLM con herramientas SAST, siguiendo el bucle iterativo de validación que describe CodeEnhancer.</w:t>
      </w:r>
    </w:p>
    <w:p>
      <w:pPr>
        <w:spacing w:after="200" w:line="276"/>
        <w:jc w:val="both"/>
      </w:pPr>
      <w:r>
        <w:rPr>
          <w:rFonts w:ascii="Calibri" w:cs="Calibri" w:eastAsia="Calibri" w:hAnsi="Calibri"/>
          <w:sz w:val="22"/>
          <w:szCs w:val="22"/>
        </w:rPr>
        <w:t xml:space="preserve">Los participantes se asignarán aleatoriamente a cada condición, y cada muestra de código base se asignará también aleatoriamente a un grupo, para evitar que la dificultad de una muestra en particular sesgue los resultados de una sola condición.</w:t>
      </w:r>
    </w:p>
    <w:p>
      <w:pPr>
        <w:pStyle w:val="Heading2"/>
        <w:spacing w:after="160" w:before="300"/>
      </w:pPr>
      <w:r>
        <w:t xml:space="preserve">2.3 Instrumentación</w:t>
      </w:r>
    </w:p>
    <w:p>
      <w:pPr>
        <w:spacing w:after="200" w:line="276"/>
        <w:jc w:val="both"/>
      </w:pPr>
      <w:r>
        <w:rPr>
          <w:rFonts w:ascii="Calibri" w:cs="Calibri" w:eastAsia="Calibri" w:hAnsi="Calibri"/>
          <w:sz w:val="22"/>
          <w:szCs w:val="22"/>
        </w:rPr>
        <w:t xml:space="preserve">Para generar el código base usaremos GPT-4o y Claude-3.5 Sonnet como modelos generadores, con la técnica de prompting Step-by-Step. Bae et al. (2024) mostraron que ambos modelos superan de forma significativa a GPT-3.5 Turbo en tareas relacionadas con vulnerabilidades, y que de las tres técnicas de prompting que probaron (Concise, Tip Setting y Step-by-Step) esta última obtuvo los mejores resultados para ambos modelos. Esto da una línea base realista: código funcional y de calidad razonable, pero no libre de fallos, que es la condición de partida que necesitamos para medir si la refactorización mejora o empeora esa situación.</w:t>
      </w:r>
    </w:p>
    <w:p>
      <w:pPr>
        <w:spacing w:after="200" w:line="276"/>
        <w:jc w:val="both"/>
      </w:pPr>
      <w:r>
        <w:rPr>
          <w:rFonts w:ascii="Calibri" w:cs="Calibri" w:eastAsia="Calibri" w:hAnsi="Calibri"/>
          <w:sz w:val="22"/>
          <w:szCs w:val="22"/>
        </w:rPr>
        <w:t xml:space="preserve">Como herramientas SAST usaremos Bandit y Pylint, siguiendo la arquitectura de dos etapas de CodeEnhancer, y las complementaremos con SonarQube y PMD. El sistema de refactorización asistida por IA del grupo experimental se construirá siguiendo ese mismo marco de dos etapas: un ciclo iterativo donde el LLM recibe retroalimentación estructurada de Bandit y Pylint hasta que el código converge o se alcanza un número fijo de iteraciones. Elegimos este marco como referencia porque, entre los sistemas revisados, es el que reporta el efecto más directamente comparable con nuestra hipótesis: solo la primera etapa (el ciclo LLM más SAST, sin ajuste fino adicional) eliminó el 82.8% de las vulnerabilidades iniciales sobre el dataset LLMSecEval (Lee et al., 2026).</w:t>
      </w:r>
    </w:p>
    <w:p>
      <w:pPr>
        <w:spacing w:after="200" w:line="276"/>
        <w:jc w:val="both"/>
      </w:pPr>
      <w:r>
        <w:rPr>
          <w:rFonts w:ascii="Calibri" w:cs="Calibri" w:eastAsia="Calibri" w:hAnsi="Calibri"/>
          <w:sz w:val="22"/>
          <w:szCs w:val="22"/>
        </w:rPr>
        <w:t xml:space="preserve">Para detectar fallos lógicos o estructurales que las herramientas puramente sintácticas suelen pasar por alto, incorporaremos una capa adicional de verificación basada en representaciones de grafo (árbol de sintaxis abstracta y grafo de flujo de control), en la línea de Devign (Zhou et al., 2019). El detector de vulnerabilidades en contratos inteligentes de Lee Song Haw Colin et al. usa este mismo tipo de características fuera del dominio de blockchain en el que se propuso originalmente, lo que respalda su uso aquí.</w:t>
      </w:r>
    </w:p>
    <w:p>
      <w:pPr>
        <w:spacing w:after="200" w:line="276"/>
        <w:jc w:val="both"/>
      </w:pPr>
      <w:r>
        <w:rPr>
          <w:rFonts w:ascii="Calibri" w:cs="Calibri" w:eastAsia="Calibri" w:hAnsi="Calibri"/>
          <w:sz w:val="22"/>
          <w:szCs w:val="22"/>
        </w:rPr>
        <w:t xml:space="preserve">Para clasificar las vulnerabilidades usaremos el CWE Top 25 como taxonomía principal, siguiendo a CodeEnhancer, y la cruzaremos con el OWASP Top Ten siguiendo el mapeo que proponen Alromaizan et al. (2026) entre su marco de prácticas de codificación segura y ambas listas.</w:t>
      </w:r>
    </w:p>
    <w:p>
      <w:pPr>
        <w:pStyle w:val="Heading2"/>
        <w:spacing w:after="160" w:before="300"/>
      </w:pPr>
      <w:r>
        <w:t xml:space="preserve">2.4 Amenazas a la validez</w:t>
      </w:r>
    </w:p>
    <w:p>
      <w:pPr>
        <w:spacing w:after="160" w:line="276"/>
        <w:jc w:val="both"/>
      </w:pPr>
      <w:r>
        <w:rPr>
          <w:rFonts w:ascii="Calibri" w:cs="Calibri" w:eastAsia="Calibri" w:hAnsi="Calibri"/>
          <w:sz w:val="22"/>
          <w:szCs w:val="22"/>
        </w:rPr>
        <w:t xml:space="preserve">Organizamos las amenazas en las cuatro categorías estándar: validez interna, externa, de constructo y de conclusión.</w:t>
      </w:r>
    </w:p>
    <w:p>
      <w:pPr>
        <w:spacing w:after="200" w:line="276"/>
        <w:jc w:val="both"/>
      </w:pPr>
      <w:r>
        <w:rPr>
          <w:rFonts w:ascii="Calibri" w:cs="Calibri" w:eastAsia="Calibri" w:hAnsi="Calibri"/>
          <w:b/>
          <w:bCs/>
          <w:i w:val="false"/>
          <w:iCs w:val="false"/>
          <w:sz w:val="22"/>
          <w:szCs w:val="22"/>
        </w:rPr>
        <w:t xml:space="preserve">Validez interna: </w:t>
      </w:r>
      <w:r>
        <w:rPr>
          <w:rFonts w:ascii="Calibri" w:cs="Calibri" w:eastAsia="Calibri" w:hAnsi="Calibri"/>
          <w:b w:val="false"/>
          <w:bCs w:val="false"/>
          <w:i w:val="false"/>
          <w:iCs w:val="false"/>
          <w:sz w:val="22"/>
          <w:szCs w:val="22"/>
        </w:rPr>
        <w:t xml:space="preserve">los grupos podrían diferir en nivel de habilidad antes de empezar. La mitigamos con asignación aleatoria y con el balanceo de grupos según la experiencia autodeclarada.</w:t>
      </w:r>
    </w:p>
    <w:p>
      <w:pPr>
        <w:spacing w:after="200" w:line="276"/>
        <w:jc w:val="both"/>
      </w:pPr>
      <w:r>
        <w:rPr>
          <w:rFonts w:ascii="Calibri" w:cs="Calibri" w:eastAsia="Calibri" w:hAnsi="Calibri"/>
          <w:b/>
          <w:bCs/>
          <w:i w:val="false"/>
          <w:iCs w:val="false"/>
          <w:sz w:val="22"/>
          <w:szCs w:val="22"/>
        </w:rPr>
        <w:t xml:space="preserve">Validez externa: </w:t>
      </w:r>
      <w:r>
        <w:rPr>
          <w:rFonts w:ascii="Calibri" w:cs="Calibri" w:eastAsia="Calibri" w:hAnsi="Calibri"/>
          <w:b w:val="false"/>
          <w:bCs w:val="false"/>
          <w:i w:val="false"/>
          <w:iCs w:val="false"/>
          <w:sz w:val="22"/>
          <w:szCs w:val="22"/>
        </w:rPr>
        <w:t xml:space="preserve">los resultados se limitan a Python y a un subconjunto de categorías CWE, con lo cual no podemos afirmar que se generalicen a otros lenguajes o a proyectos industriales de mayor escala. Dejamos la réplica en otros lenguajes como línea de trabajo futuro.</w:t>
      </w:r>
    </w:p>
    <w:p>
      <w:pPr>
        <w:spacing w:after="200" w:line="276"/>
        <w:jc w:val="both"/>
      </w:pPr>
      <w:r>
        <w:rPr>
          <w:rFonts w:ascii="Calibri" w:cs="Calibri" w:eastAsia="Calibri" w:hAnsi="Calibri"/>
          <w:b/>
          <w:bCs/>
          <w:i w:val="false"/>
          <w:iCs w:val="false"/>
          <w:sz w:val="22"/>
          <w:szCs w:val="22"/>
        </w:rPr>
        <w:t xml:space="preserve">Validez de constructo: </w:t>
      </w:r>
      <w:r>
        <w:rPr>
          <w:rFonts w:ascii="Calibri" w:cs="Calibri" w:eastAsia="Calibri" w:hAnsi="Calibri"/>
          <w:b w:val="false"/>
          <w:bCs w:val="false"/>
          <w:i w:val="false"/>
          <w:iCs w:val="false"/>
          <w:sz w:val="22"/>
          <w:szCs w:val="22"/>
        </w:rPr>
        <w:t xml:space="preserve">las propias herramientas SAST que usamos como referencia tienen su propia tasa de error. RMiner, la herramienta que usaremos para verificar que una acción de refactorización realmente ocurrió, alcanza en estudios previos una precisión de aproximadamente 98% y un recall de 87% (Halepmollasi y Tosun, 2025), cifras que no son perfectas. Para mitigar esta amenaza, exigiremos que una vulnerabilidad se cuente como tal solo cuando dos detectores independientes coincidan, o cuando un detector coincida con la revisión de un evaluador humano, en la línea de la evaluación de riesgo consciente del contexto que propone CAPRA (Tang et al.) para distinguir una vulnerabilidad inmadura de una confirmada.</w:t>
      </w:r>
    </w:p>
    <w:p>
      <w:pPr>
        <w:spacing w:after="200" w:line="276"/>
        <w:jc w:val="both"/>
      </w:pPr>
      <w:r>
        <w:rPr>
          <w:rFonts w:ascii="Calibri" w:cs="Calibri" w:eastAsia="Calibri" w:hAnsi="Calibri"/>
          <w:b/>
          <w:bCs/>
          <w:i w:val="false"/>
          <w:iCs w:val="false"/>
          <w:sz w:val="22"/>
          <w:szCs w:val="22"/>
        </w:rPr>
        <w:t xml:space="preserve">Validez de conclusión: </w:t>
      </w:r>
      <w:r>
        <w:rPr>
          <w:rFonts w:ascii="Calibri" w:cs="Calibri" w:eastAsia="Calibri" w:hAnsi="Calibri"/>
          <w:b w:val="false"/>
          <w:bCs w:val="false"/>
          <w:i w:val="false"/>
          <w:iCs w:val="false"/>
          <w:sz w:val="22"/>
          <w:szCs w:val="22"/>
        </w:rPr>
        <w:t xml:space="preserve">con un tamaño de muestra moderado, adoptamos pruebas no paramétricas (ver Fase 4) en lugar de asumir que los datos siguen una distribución normal.</w:t>
      </w:r>
    </w:p>
    <w:p>
      <w:pPr>
        <w:pStyle w:val="Heading1"/>
        <w:spacing w:after="200" w:before="400"/>
      </w:pPr>
      <w:r>
        <w:t xml:space="preserve">Fase 3: Ejecución (Operation)</w:t>
      </w:r>
    </w:p>
    <w:p>
      <w:pPr>
        <w:pStyle w:val="Heading2"/>
        <w:spacing w:after="160" w:before="300"/>
      </w:pPr>
      <w:r>
        <w:t xml:space="preserve">3.1 Preparación y protocolo de ejecución</w:t>
      </w:r>
    </w:p>
    <w:p>
      <w:pPr>
        <w:spacing w:after="120" w:line="276"/>
        <w:jc w:val="both"/>
      </w:pPr>
      <w:r>
        <w:rPr>
          <w:rFonts w:ascii="Calibri" w:cs="Calibri" w:eastAsia="Calibri" w:hAnsi="Calibri"/>
          <w:sz w:val="22"/>
          <w:szCs w:val="22"/>
        </w:rPr>
        <w:t xml:space="preserve">El protocolo sigue seis pasos:</w:t>
      </w:r>
    </w:p>
    <w:p>
      <w:pPr>
        <w:pStyle w:val="ListParagraph"/>
        <w:numPr>
          <w:ilvl w:val="0"/>
          <w:numId w:val="3"/>
        </w:numPr>
        <w:spacing w:after="140" w:line="276"/>
        <w:jc w:val="both"/>
      </w:pPr>
      <w:r>
        <w:rPr>
          <w:rFonts w:ascii="Calibri" w:cs="Calibri" w:eastAsia="Calibri" w:hAnsi="Calibri"/>
          <w:sz w:val="22"/>
          <w:szCs w:val="22"/>
        </w:rPr>
        <w:t xml:space="preserve">Generar las muestras de código base con GPT-4o y Claude-3.5 Sonnet usando prompting Step-by-Step, cubriendo una variedad representativa de categorías del CWE Top 25.</w:t>
      </w:r>
    </w:p>
    <w:p>
      <w:pPr>
        <w:pStyle w:val="ListParagraph"/>
        <w:numPr>
          <w:ilvl w:val="0"/>
          <w:numId w:val="3"/>
        </w:numPr>
        <w:spacing w:after="140" w:line="276"/>
        <w:jc w:val="both"/>
      </w:pPr>
      <w:r>
        <w:rPr>
          <w:rFonts w:ascii="Calibri" w:cs="Calibri" w:eastAsia="Calibri" w:hAnsi="Calibri"/>
          <w:sz w:val="22"/>
          <w:szCs w:val="22"/>
        </w:rPr>
        <w:t xml:space="preserve">Ejecutar un escaneo SAST inicial (Bandit, Pylint, SonarQube) sobre cada muestra para registrar su perfil de vulnerabilidad de partida.</w:t>
      </w:r>
    </w:p>
    <w:p>
      <w:pPr>
        <w:pStyle w:val="ListParagraph"/>
        <w:numPr>
          <w:ilvl w:val="0"/>
          <w:numId w:val="3"/>
        </w:numPr>
        <w:spacing w:after="140" w:line="276"/>
        <w:jc w:val="both"/>
      </w:pPr>
      <w:r>
        <w:rPr>
          <w:rFonts w:ascii="Calibri" w:cs="Calibri" w:eastAsia="Calibri" w:hAnsi="Calibri"/>
          <w:sz w:val="22"/>
          <w:szCs w:val="22"/>
        </w:rPr>
        <w:t xml:space="preserve">Asignar aleatoriamente muestras y participantes a la condición manual o a la condición asistida por IA, balanceando por experiencia declarada.</w:t>
      </w:r>
    </w:p>
    <w:p>
      <w:pPr>
        <w:pStyle w:val="ListParagraph"/>
        <w:numPr>
          <w:ilvl w:val="0"/>
          <w:numId w:val="3"/>
        </w:numPr>
        <w:spacing w:after="140" w:line="276"/>
        <w:jc w:val="both"/>
      </w:pPr>
      <w:r>
        <w:rPr>
          <w:rFonts w:ascii="Calibri" w:cs="Calibri" w:eastAsia="Calibri" w:hAnsi="Calibri"/>
          <w:sz w:val="22"/>
          <w:szCs w:val="22"/>
        </w:rPr>
        <w:t xml:space="preserve">El grupo manual refactoriza usando solo su IDE y la documentación estándar, sin exposición a herramientas automáticas de seguridad.</w:t>
      </w:r>
    </w:p>
    <w:p>
      <w:pPr>
        <w:pStyle w:val="ListParagraph"/>
        <w:numPr>
          <w:ilvl w:val="0"/>
          <w:numId w:val="3"/>
        </w:numPr>
        <w:spacing w:after="140" w:line="276"/>
        <w:jc w:val="both"/>
      </w:pPr>
      <w:r>
        <w:rPr>
          <w:rFonts w:ascii="Calibri" w:cs="Calibri" w:eastAsia="Calibri" w:hAnsi="Calibri"/>
          <w:sz w:val="22"/>
          <w:szCs w:val="22"/>
        </w:rPr>
        <w:t xml:space="preserve">El grupo asistido por IA refactoriza usando el ciclo iterativo SAST más LLM descrito en la Fase 2, con retroalimentación de Bandit y Pylint incorporada hasta la convergencia o hasta un número fijo de iteraciones.</w:t>
      </w:r>
    </w:p>
    <w:p>
      <w:pPr>
        <w:pStyle w:val="ListParagraph"/>
        <w:numPr>
          <w:ilvl w:val="0"/>
          <w:numId w:val="3"/>
        </w:numPr>
        <w:spacing w:after="140" w:line="276"/>
        <w:jc w:val="both"/>
      </w:pPr>
      <w:r>
        <w:rPr>
          <w:rFonts w:ascii="Calibri" w:cs="Calibri" w:eastAsia="Calibri" w:hAnsi="Calibri"/>
          <w:sz w:val="22"/>
          <w:szCs w:val="22"/>
        </w:rPr>
        <w:t xml:space="preserve">Se aplica un escaneo SAST posterior a la refactorización, más una verificación manual, sobre el resultado de ambos grupos antes de calificarlo.</w:t>
      </w:r>
    </w:p>
    <w:p>
      <w:pPr>
        <w:pStyle w:val="Heading2"/>
        <w:spacing w:after="160" w:before="300"/>
      </w:pPr>
      <w:r>
        <w:t xml:space="preserve">3.2 Validación de datos</w:t>
      </w:r>
    </w:p>
    <w:p>
      <w:pPr>
        <w:spacing w:after="200" w:line="276"/>
        <w:jc w:val="both"/>
      </w:pPr>
      <w:r>
        <w:rPr>
          <w:rFonts w:ascii="Calibri" w:cs="Calibri" w:eastAsia="Calibri" w:hAnsi="Calibri"/>
          <w:sz w:val="22"/>
          <w:szCs w:val="22"/>
        </w:rPr>
        <w:t xml:space="preserve">Para asegurar que las vulnerabilidades contadas sean reales y no falsos positivos del detector, una vulnerabilidad se registrará solo cuando la reporten al menos dos detectores independientes, o un detector junto con la revisión de un evaluador humano con experiencia en seguridad. Antes de calificar una muestra, verificaremos también que la refactorización efectivamente haya ocurrido según lo previsto, usando una herramienta de detección de refactorizaciones en la línea de RMiner (Halepmollasi y Tosun, 2025), y filtraremos coincidencias irrelevantes con un mecanismo de cribado similar al que usa VAScanner (Zhang et al.).</w:t>
      </w:r>
    </w:p>
    <w:p>
      <w:pPr>
        <w:pStyle w:val="Heading1"/>
        <w:spacing w:after="200" w:before="400"/>
      </w:pPr>
      <w:r>
        <w:t xml:space="preserve">Fase 4: Análisis e Interpretación (Analysis and Interpretation)</w:t>
      </w:r>
    </w:p>
    <w:p>
      <w:pPr>
        <w:pStyle w:val="Heading2"/>
        <w:spacing w:after="160" w:before="300"/>
      </w:pPr>
      <w:r>
        <w:t xml:space="preserve">4.1 Análisis estadístico propuesto</w:t>
      </w:r>
    </w:p>
    <w:p>
      <w:pPr>
        <w:spacing w:after="200" w:line="276"/>
        <w:jc w:val="both"/>
      </w:pPr>
      <w:r>
        <w:rPr>
          <w:rFonts w:ascii="Calibri" w:cs="Calibri" w:eastAsia="Calibri" w:hAnsi="Calibri"/>
          <w:sz w:val="22"/>
          <w:szCs w:val="22"/>
        </w:rPr>
        <w:t xml:space="preserve">Primero calcularemos estadística descriptiva por grupo (media, mediana, desviación estándar, cuartiles) y compararemos las distribuciones con gráficos de densidad y de caja antes de pasar a la inferencia estadística.</w:t>
      </w:r>
    </w:p>
    <w:p>
      <w:pPr>
        <w:spacing w:after="200" w:line="276"/>
        <w:jc w:val="both"/>
      </w:pPr>
      <w:r>
        <w:rPr>
          <w:rFonts w:ascii="Calibri" w:cs="Calibri" w:eastAsia="Calibri" w:hAnsi="Calibri"/>
          <w:sz w:val="22"/>
          <w:szCs w:val="22"/>
        </w:rPr>
        <w:t xml:space="preserve">Como prueba principal usaremos Mann-Whitney U, complementada con el coeficiente Cliff's Delta para medir el tamaño del efecto. Si en una fase posterior ampliamos la comparación a más de dos configuraciones (por ejemplo, distintas combinaciones de SAST y LLM), aplicaremos la prueba post hoc de Nemenyi. Si en cambio optamos por un diseño de medidas repetidas, donde la misma persona refactoriza en ambas condiciones sobre muestras equivalentes, usaremos la prueba t pareada junto con ANOVA de un factor. En todos los casos, el nivel de significancia se fija en α = 0.05.</w:t>
      </w:r>
    </w:p>
    <w:p>
      <w:pPr>
        <w:pStyle w:val="Heading2"/>
        <w:spacing w:after="160" w:before="300"/>
      </w:pPr>
      <w:r>
        <w:t xml:space="preserve">4.2 Resultados esperados</w:t>
      </w:r>
    </w:p>
    <w:p>
      <w:pPr>
        <w:spacing w:after="200" w:line="276"/>
        <w:jc w:val="both"/>
      </w:pPr>
      <w:r>
        <w:rPr>
          <w:rFonts w:ascii="Calibri" w:cs="Calibri" w:eastAsia="Calibri" w:hAnsi="Calibri"/>
          <w:sz w:val="22"/>
          <w:szCs w:val="22"/>
        </w:rPr>
        <w:t xml:space="preserve">Con base en la reducción que documenta CodeEnhancer (de 43.6% a 18.4% de fragmentos vulnerables con el modelo ajustado, y tasas finales de 6.7% en LLMSecEval y 3.5% en SecurityEval) y en la mejora de F1 que reportan Bae et al. (2024) al pasar de GPT-3.5 Turbo (F1 de 0.6772) a GPT-4o (F1 de 0.9072), esperamos que el grupo asistido por IA muestre una reducción estadísticamente significativa en el número de vulnerabilidades mantenidas o introducidas frente al grupo manual, suficiente para rechazar H0.</w:t>
      </w:r>
    </w:p>
    <w:p>
      <w:pPr>
        <w:spacing w:after="200" w:line="276"/>
        <w:jc w:val="both"/>
      </w:pPr>
      <w:r>
        <w:rPr>
          <w:rFonts w:ascii="Calibri" w:cs="Calibri" w:eastAsia="Calibri" w:hAnsi="Calibri"/>
          <w:sz w:val="22"/>
          <w:szCs w:val="22"/>
        </w:rPr>
        <w:t xml:space="preserve">No esperamos, sin embargo, que ese efecto sea uniforme entre categorías de vulnerabilidad. Las herramientas SAST y los LLMs suelen ser más efectivos contra fallos de patrón sintáctico, como la inyección SQL (CWE-89) o la inyección de comandos (CWE-78), que son los que CodeEnhancer ataca de forma directa, mientras que los fallos lógicos o estructurales dependen más de una comprensión semántica del código, el terreno donde métodos basados en grafos como Devign muestran ventaja sobre el análisis puramente sintáctico. Al responder RQ4, anticipamos entonces un efecto más marcado en vulnerabilidades de patrón que en fallos estructurales.</w:t>
      </w:r>
    </w:p>
    <w:p>
      <w:pPr>
        <w:spacing w:after="200" w:line="276"/>
        <w:jc w:val="both"/>
      </w:pPr>
      <w:r>
        <w:rPr>
          <w:rFonts w:ascii="Calibri" w:cs="Calibri" w:eastAsia="Calibri" w:hAnsi="Calibri"/>
          <w:sz w:val="22"/>
          <w:szCs w:val="22"/>
        </w:rPr>
        <w:t xml:space="preserve">También esperamos que la mejora en precisión sea más clara que la mejora en recall dentro del grupo asistido por IA. Ese patrón asimétrico ya aparece en Vudenc, con precisión de 82%-96% frente a un recall de 78%-87% (Wartschinski et al.), y es coherente con el diseño de CodeEnhancer, que corrige lo que detecta en lugar de perseguir de forma exhaustiva cada vulnerabilidad posible.</w:t>
      </w:r>
    </w:p>
    <w:p>
      <w:pPr>
        <w:pStyle w:val="Heading1"/>
        <w:spacing w:after="200" w:before="400"/>
      </w:pPr>
      <w:r>
        <w:t xml:space="preserve">Fase 5: Presentación y Conclusiones (Presentation)</w:t>
      </w:r>
    </w:p>
    <w:p>
      <w:pPr>
        <w:pStyle w:val="Heading2"/>
        <w:spacing w:after="160" w:before="300"/>
      </w:pPr>
      <w:r>
        <w:t xml:space="preserve">5.1 Relevancia para la industria</w:t>
      </w:r>
    </w:p>
    <w:p>
      <w:pPr>
        <w:spacing w:after="200" w:line="276"/>
        <w:jc w:val="both"/>
      </w:pPr>
      <w:r>
        <w:rPr>
          <w:rFonts w:ascii="Calibri" w:cs="Calibri" w:eastAsia="Calibri" w:hAnsi="Calibri"/>
          <w:sz w:val="22"/>
          <w:szCs w:val="22"/>
        </w:rPr>
        <w:t xml:space="preserve">Las vulnerabilidades de software en sectores como finanzas, salud e infraestructura crítica tienen consecuencias que van más allá de una falla técnica. Lo que ha cambiado es la fuente del código: CodeEnhancer demuestra que incluso un modelo de última generación como GPT-4o produce, por defecto, debilidades del CWE Top 25 (Lee et al., 2026), y Filus y Domańska (2023) muestran que ni siquiera los frameworks especializados en aprendizaje profundo, como TensorFlow, están libres de vulnerabilidades propias. Las organizaciones que adoptan código generado por IA heredan así una deuda de seguridad que la investigación centrada solo en la generación no ha resuelto.</w:t>
      </w:r>
    </w:p>
    <w:p>
      <w:pPr>
        <w:spacing w:after="200" w:line="276"/>
        <w:jc w:val="both"/>
      </w:pPr>
      <w:r>
        <w:rPr>
          <w:rFonts w:ascii="Calibri" w:cs="Calibri" w:eastAsia="Calibri" w:hAnsi="Calibri"/>
          <w:sz w:val="22"/>
          <w:szCs w:val="22"/>
        </w:rPr>
        <w:t xml:space="preserve">Alromaizan et al. (2026) sostienen, tras revisar 35 fuentes académicas y corporativas, que la mayoría de las vulnerabilidades persisten no por falta de herramientas de seguridad disponibles, sino porque los desarrolladores no integran la seguridad en su práctica diaria de codificación. Ese argumento reformula el propósito de nuestro experimento: no proponemos una herramienta de detección más, sino que ponemos a prueba si insertar IA y SAST dentro de una tarea rutinaria, la refactorización, cambia el resultado para las personas que hacen ese trabajo todos los días. La revisión de Mnasri et al. sobre pruebas de seguridad en contratos inteligentes de Ethereum sugiere que la misma pregunta se repite en otros dominios de alto riesgo, lo que indica que el problema no es específico de Python ni de aplicaciones web.</w:t>
      </w:r>
    </w:p>
    <w:p>
      <w:pPr>
        <w:pStyle w:val="Heading2"/>
        <w:spacing w:after="160" w:before="300"/>
      </w:pPr>
      <w:r>
        <w:t xml:space="preserve">5.2 Trabajo futuro</w:t>
      </w:r>
    </w:p>
    <w:p>
      <w:pPr>
        <w:spacing w:after="120" w:line="276"/>
        <w:jc w:val="both"/>
      </w:pPr>
      <w:r>
        <w:rPr>
          <w:rFonts w:ascii="Calibri" w:cs="Calibri" w:eastAsia="Calibri" w:hAnsi="Calibri"/>
          <w:sz w:val="22"/>
          <w:szCs w:val="22"/>
        </w:rPr>
        <w:t xml:space="preserve">Proponemos cuatro líneas de continuación:</w:t>
      </w:r>
    </w:p>
    <w:p>
      <w:pPr>
        <w:pStyle w:val="ListParagraph"/>
        <w:numPr>
          <w:ilvl w:val="0"/>
          <w:numId w:val="3"/>
        </w:numPr>
        <w:spacing w:after="140" w:line="276"/>
        <w:jc w:val="both"/>
      </w:pPr>
      <w:r>
        <w:rPr>
          <w:rFonts w:ascii="Calibri" w:cs="Calibri" w:eastAsia="Calibri" w:hAnsi="Calibri"/>
          <w:sz w:val="22"/>
          <w:szCs w:val="22"/>
        </w:rPr>
        <w:t xml:space="preserve">Una réplica a mayor escala en otros lenguajes y en contextos industriales, dado que estudios como los de Lomio et al. (2022) y Halepmollasi y Tosun (2025) se han limitado a un solo lenguaje y a proyectos de código abierto.</w:t>
      </w:r>
    </w:p>
    <w:p>
      <w:pPr>
        <w:pStyle w:val="ListParagraph"/>
        <w:numPr>
          <w:ilvl w:val="0"/>
          <w:numId w:val="3"/>
        </w:numPr>
        <w:spacing w:after="140" w:line="276"/>
        <w:jc w:val="both"/>
      </w:pPr>
      <w:r>
        <w:rPr>
          <w:rFonts w:ascii="Calibri" w:cs="Calibri" w:eastAsia="Calibri" w:hAnsi="Calibri"/>
          <w:sz w:val="22"/>
          <w:szCs w:val="22"/>
        </w:rPr>
        <w:t xml:space="preserve">Extender la comparación a varias familias de LLM en lugar de una sola, como hicieron Patcas y Motogna (2026) al evaluar seis modelos distintos (GPT-4o, Gemini 2.0 Flash, Claude 3 Opus, Mistral Large, Grok 3 y DeepSeek V3), para averiguar si el efecto observado depende del modelo concreto o se sostiene entre familias.</w:t>
      </w:r>
    </w:p>
    <w:p>
      <w:pPr>
        <w:pStyle w:val="ListParagraph"/>
        <w:numPr>
          <w:ilvl w:val="0"/>
          <w:numId w:val="3"/>
        </w:numPr>
        <w:spacing w:after="140" w:line="276"/>
        <w:jc w:val="both"/>
      </w:pPr>
      <w:r>
        <w:rPr>
          <w:rFonts w:ascii="Calibri" w:cs="Calibri" w:eastAsia="Calibri" w:hAnsi="Calibri"/>
          <w:sz w:val="22"/>
          <w:szCs w:val="22"/>
        </w:rPr>
        <w:t xml:space="preserve">Incorporar de forma más profunda una capa de detección semántica basada en grafos, en la línea de Devign, como refinamiento del sistema asistido por IA frente a fallos estructurales.</w:t>
      </w:r>
    </w:p>
    <w:p>
      <w:pPr>
        <w:pStyle w:val="ListParagraph"/>
        <w:numPr>
          <w:ilvl w:val="0"/>
          <w:numId w:val="3"/>
        </w:numPr>
        <w:spacing w:after="140" w:line="276"/>
        <w:jc w:val="both"/>
      </w:pPr>
      <w:r>
        <w:rPr>
          <w:rFonts w:ascii="Calibri" w:cs="Calibri" w:eastAsia="Calibri" w:hAnsi="Calibri"/>
          <w:sz w:val="22"/>
          <w:szCs w:val="22"/>
        </w:rPr>
        <w:t xml:space="preserve">Construir un banco de pruebas diseñado específicamente para tareas de refactorización, dado que los conjuntos de datos actuales (LLMSecEval, SecurityEval) se construyeron para evaluar generación de código, no refactorización.</w:t>
      </w:r>
    </w:p>
    <w:p>
      <w:pPr>
        <w:pStyle w:val="Heading1"/>
        <w:spacing w:after="200" w:before="400"/>
      </w:pPr>
      <w:r>
        <w:t xml:space="preserve">Referencias</w:t>
      </w:r>
    </w:p>
    <w:p>
      <w:pPr>
        <w:spacing w:after="180" w:line="264"/>
        <w:ind w:left="720" w:hanging="720"/>
      </w:pPr>
      <w:r>
        <w:rPr>
          <w:rFonts w:ascii="Calibri" w:cs="Calibri" w:eastAsia="Calibri" w:hAnsi="Calibri"/>
          <w:sz w:val="20"/>
          <w:szCs w:val="20"/>
        </w:rPr>
        <w:t xml:space="preserve">Alromaizan, A., Alzahrani, G., Khan, A., Alhumaid, L., Siam, M. K., Umair Khan, M., Hossain Faruk, M. J., &amp; Shahriar, H. (2026). Toward a unified framework for secure coding: A comprehensive synthesis of best practices. MDPI.</w:t>
      </w:r>
    </w:p>
    <w:p>
      <w:pPr>
        <w:spacing w:after="180" w:line="264"/>
        <w:ind w:left="720" w:hanging="720"/>
      </w:pPr>
      <w:r>
        <w:rPr>
          <w:rFonts w:ascii="Calibri" w:cs="Calibri" w:eastAsia="Calibri" w:hAnsi="Calibri"/>
          <w:sz w:val="20"/>
          <w:szCs w:val="20"/>
        </w:rPr>
        <w:t xml:space="preserve">Bae, J., Kwon, S., &amp; Myeong, S. (2024). Enhancing software code vulnerability detection using GPT-4o and Claude-3.5 Sonnet: A study on prompt engineering techniques. Electronics (MDPI).</w:t>
      </w:r>
    </w:p>
    <w:p>
      <w:pPr>
        <w:spacing w:after="180" w:line="264"/>
        <w:ind w:left="720" w:hanging="720"/>
      </w:pPr>
      <w:r>
        <w:rPr>
          <w:rFonts w:ascii="Calibri" w:cs="Calibri" w:eastAsia="Calibri" w:hAnsi="Calibri"/>
          <w:sz w:val="20"/>
          <w:szCs w:val="20"/>
        </w:rPr>
        <w:t xml:space="preserve">Filus, K., &amp; Domańska, J. (2023). Software vulnerabilities in TensorFlow-based deep learning applications. Computers &amp; Security, 124, 102948.</w:t>
      </w:r>
    </w:p>
    <w:p>
      <w:pPr>
        <w:spacing w:after="180" w:line="264"/>
        <w:ind w:left="720" w:hanging="720"/>
      </w:pPr>
      <w:r>
        <w:rPr>
          <w:rFonts w:ascii="Calibri" w:cs="Calibri" w:eastAsia="Calibri" w:hAnsi="Calibri"/>
          <w:sz w:val="20"/>
          <w:szCs w:val="20"/>
        </w:rPr>
        <w:t xml:space="preserve">Halepmollasi, R. A., &amp; Tosun, A. (2025). Predicting vulnerable code changes using technical debt indicators. IEEE Access, 13.</w:t>
      </w:r>
    </w:p>
    <w:p>
      <w:pPr>
        <w:spacing w:after="180" w:line="264"/>
        <w:ind w:left="720" w:hanging="720"/>
      </w:pPr>
      <w:r>
        <w:rPr>
          <w:rFonts w:ascii="Calibri" w:cs="Calibri" w:eastAsia="Calibri" w:hAnsi="Calibri"/>
          <w:sz w:val="20"/>
          <w:szCs w:val="20"/>
        </w:rPr>
        <w:t xml:space="preserve">Lee, J., Mai, K., Ghate, N., Yagyu, T., Beuran, R., &amp; Tan, Y. (2026). CodeEnhancer: LLM-generated Python code enhancement through SAST integration and fine-tuning. Knowledge-Based Systems, 342, 115925.</w:t>
      </w:r>
    </w:p>
    <w:p>
      <w:pPr>
        <w:spacing w:after="180" w:line="264"/>
        <w:ind w:left="720" w:hanging="720"/>
      </w:pPr>
      <w:r>
        <w:rPr>
          <w:rFonts w:ascii="Calibri" w:cs="Calibri" w:eastAsia="Calibri" w:hAnsi="Calibri"/>
          <w:sz w:val="20"/>
          <w:szCs w:val="20"/>
        </w:rPr>
        <w:t xml:space="preserve">Lee Song Haw, C., Murali Mohan, P., Pan, J., &amp; Loh Kok Keong, P. An integrated smart contract vulnerability detection tool using multi-layer perceptron on real-time Solidity smart contracts. IEEE Access, 11.</w:t>
      </w:r>
    </w:p>
    <w:p>
      <w:pPr>
        <w:spacing w:after="180" w:line="264"/>
        <w:ind w:left="720" w:hanging="720"/>
      </w:pPr>
      <w:r>
        <w:rPr>
          <w:rFonts w:ascii="Calibri" w:cs="Calibri" w:eastAsia="Calibri" w:hAnsi="Calibri"/>
          <w:sz w:val="20"/>
          <w:szCs w:val="20"/>
        </w:rPr>
        <w:t xml:space="preserve">Lomio, F., Iannone, E., De Lucia, A., Palomba, F., &amp; Lenarduzzi, V. (2022). Just-in-time software vulnerability detection: Are we there yet? Journal of Systems and Software, 188, 111283.</w:t>
      </w:r>
    </w:p>
    <w:p>
      <w:pPr>
        <w:spacing w:after="180" w:line="264"/>
        <w:ind w:left="720" w:hanging="720"/>
      </w:pPr>
      <w:r>
        <w:rPr>
          <w:rFonts w:ascii="Calibri" w:cs="Calibri" w:eastAsia="Calibri" w:hAnsi="Calibri"/>
          <w:sz w:val="20"/>
          <w:szCs w:val="20"/>
        </w:rPr>
        <w:t xml:space="preserve">Mnasri, M., Jmal Maâlej, A., &amp; Jmaiel, M. A systematic literature review on security testing of Ethereum smart contracts. Blockchain: Research and Applications, 7, 100314.</w:t>
      </w:r>
    </w:p>
    <w:p>
      <w:pPr>
        <w:spacing w:after="180" w:line="264"/>
        <w:ind w:left="720" w:hanging="720"/>
      </w:pPr>
      <w:r>
        <w:rPr>
          <w:rFonts w:ascii="Calibri" w:cs="Calibri" w:eastAsia="Calibri" w:hAnsi="Calibri"/>
          <w:sz w:val="20"/>
          <w:szCs w:val="20"/>
        </w:rPr>
        <w:t xml:space="preserve">Nembhard, F. D., Carvalho, M. M., &amp; Eskridge, T. C. (2019). Towards the application of recommender systems to secure coding. EURASIP Journal on Information Security, 2019(9).</w:t>
      </w:r>
    </w:p>
    <w:p>
      <w:pPr>
        <w:spacing w:after="180" w:line="264"/>
        <w:ind w:left="720" w:hanging="720"/>
      </w:pPr>
      <w:r>
        <w:rPr>
          <w:rFonts w:ascii="Calibri" w:cs="Calibri" w:eastAsia="Calibri" w:hAnsi="Calibri"/>
          <w:sz w:val="20"/>
          <w:szCs w:val="20"/>
        </w:rPr>
        <w:t xml:space="preserve">Patcas, R., &amp; Motogna, S. (2026). An evaluation study of large language models for addressing code quality issues. Empirical Software Engineering, 31, 118.</w:t>
      </w:r>
    </w:p>
    <w:p>
      <w:pPr>
        <w:spacing w:after="180" w:line="264"/>
        <w:ind w:left="720" w:hanging="720"/>
      </w:pPr>
      <w:r>
        <w:rPr>
          <w:rFonts w:ascii="Calibri" w:cs="Calibri" w:eastAsia="Calibri" w:hAnsi="Calibri"/>
          <w:sz w:val="20"/>
          <w:szCs w:val="20"/>
        </w:rPr>
        <w:t xml:space="preserve">Tang, B., Zhang, S., Zhu, F., &amp; Ye, A. CAPRA: Context-aware patch risk assessment for detecting immature vulnerability in open-source software. Computers &amp; Security.</w:t>
      </w:r>
    </w:p>
    <w:p>
      <w:pPr>
        <w:spacing w:after="180" w:line="264"/>
        <w:ind w:left="720" w:hanging="720"/>
      </w:pPr>
      <w:r>
        <w:rPr>
          <w:rFonts w:ascii="Calibri" w:cs="Calibri" w:eastAsia="Calibri" w:hAnsi="Calibri"/>
          <w:sz w:val="20"/>
          <w:szCs w:val="20"/>
        </w:rPr>
        <w:t xml:space="preserve">Wartschinski, L., Noller, Y., Vogel, T., Kehrer, T., &amp; Grunske, L. VUDENC: Vulnerability detection with deep learning on a natural codebase for Python.</w:t>
      </w:r>
    </w:p>
    <w:p>
      <w:pPr>
        <w:spacing w:after="180" w:line="264"/>
        <w:ind w:left="720" w:hanging="720"/>
      </w:pPr>
      <w:r>
        <w:rPr>
          <w:rFonts w:ascii="Calibri" w:cs="Calibri" w:eastAsia="Calibri" w:hAnsi="Calibri"/>
          <w:sz w:val="20"/>
          <w:szCs w:val="20"/>
        </w:rPr>
        <w:t xml:space="preserve">Zhang, F., Fan, L., Chen, S., Cai, M., Xu, S., &amp; Zhao, L. Does the vulnerability threaten our projects? Automated vulnerable API detection for third-party libraries.</w:t>
      </w:r>
    </w:p>
    <w:p>
      <w:pPr>
        <w:spacing w:after="180" w:line="264"/>
        <w:ind w:left="720" w:hanging="720"/>
      </w:pPr>
      <w:r>
        <w:rPr>
          <w:rFonts w:ascii="Calibri" w:cs="Calibri" w:eastAsia="Calibri" w:hAnsi="Calibri"/>
          <w:sz w:val="20"/>
          <w:szCs w:val="20"/>
        </w:rPr>
        <w:t xml:space="preserve">Zhou, Y., Liu, S., Siow, J., Du, X., &amp; Liu, Y. (2019). Devign: Effective vulnerability identification by learning comprehensive program semantics via graph neural networks. Advances in Neural Information Processing Systems, 32.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60" w:before="30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2026-07-21T02:40:50.351Z</dcterms:created>
  <dcterms:modified xsi:type="dcterms:W3CDTF">2026-07-21T02:40:50.366Z</dcterms:modified>
</cp:coreProperties>
</file>

<file path=docProps/custom.xml><?xml version="1.0" encoding="utf-8"?>
<Properties xmlns="http://schemas.openxmlformats.org/officeDocument/2006/custom-properties" xmlns:vt="http://schemas.openxmlformats.org/officeDocument/2006/docPropsVTypes"/>
</file>