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7C8E0" w14:textId="1C8F806C" w:rsidR="00185A87" w:rsidRDefault="00FB2CAB">
      <w:pPr>
        <w:rPr>
          <w:b/>
          <w:sz w:val="32"/>
        </w:rPr>
      </w:pPr>
      <w:r>
        <w:rPr>
          <w:b/>
          <w:sz w:val="32"/>
        </w:rPr>
        <w:t>DISEÑO DE UN EXPERIMENTO EMPÍRICO SOBRE VULNERABILIDADES EN LA REFACTORIZACIÓN DE CÓDIGO GENERADO POR IA</w:t>
      </w:r>
    </w:p>
    <w:p w14:paraId="1DC501A0" w14:textId="77777777" w:rsidR="00FB2CAB" w:rsidRDefault="00FB2CAB">
      <w:pPr>
        <w:rPr>
          <w:b/>
          <w:sz w:val="32"/>
        </w:rPr>
      </w:pPr>
    </w:p>
    <w:p w14:paraId="7CC8827F" w14:textId="33434869" w:rsidR="00FB2CAB" w:rsidRDefault="00FB2CAB">
      <w:pPr>
        <w:rPr>
          <w:b/>
          <w:i/>
        </w:rPr>
      </w:pPr>
      <w:r>
        <w:rPr>
          <w:b/>
          <w:i/>
        </w:rPr>
        <w:t>Propuesta metodológica en cinco fases, fundamentada en la revisión de 39 estudios sobre detección de vulnerabilidades, aprendizaje profundo, modelos de lenguaje y herramientas SAST</w:t>
      </w:r>
    </w:p>
    <w:p w14:paraId="53CE5F53" w14:textId="77777777" w:rsidR="00FB2CAB" w:rsidRDefault="00FB2CAB">
      <w:pPr>
        <w:rPr>
          <w:b/>
          <w:i/>
        </w:rPr>
      </w:pPr>
    </w:p>
    <w:p w14:paraId="41329D9D" w14:textId="2A632E51" w:rsidR="00FB2CAB" w:rsidRDefault="00FB2CAB">
      <w:pPr>
        <w:rPr>
          <w:sz w:val="22"/>
        </w:rPr>
      </w:pPr>
      <w:r>
        <w:rPr>
          <w:sz w:val="22"/>
        </w:rPr>
        <w:t>El código que producen los modelos de lenguaje grande rara vez sale limpio de fallos de seguridad. CodeEnhancer (Lee et al., 2026) documentó que incluso GPT-4o genera por defecto debilidades listadas en el CWE Top 25, entre ellas inyección de comandos (CWE-78) e inyección SQL (CWE-89). Este hallazgo deja abierta una pregunta que la literatura sobre generación de código no responde: qué ocurre con esas vulnerabilidades cuando un desarrollador humano refactoriza ese código, lo adapta al proyecto real y lo deja listo para producción. Esta propuesta diseña un experimento para responder esa pregunta, comparando la refactorización puramente manual con la refactorización asistida por sistemas de IA orientados a seguridad.</w:t>
      </w:r>
    </w:p>
    <w:p w14:paraId="77E213A9" w14:textId="77777777" w:rsidR="00FB2CAB" w:rsidRDefault="00FB2CAB">
      <w:pPr>
        <w:rPr>
          <w:sz w:val="22"/>
        </w:rPr>
      </w:pPr>
    </w:p>
    <w:p w14:paraId="5E9369C6" w14:textId="584DAB4B" w:rsidR="00FB2CAB" w:rsidRDefault="00FB2CAB">
      <w:pPr>
        <w:rPr>
          <w:b/>
          <w:sz w:val="28"/>
        </w:rPr>
      </w:pPr>
      <w:r>
        <w:rPr>
          <w:b/>
          <w:sz w:val="28"/>
        </w:rPr>
        <w:t>Fase 1: Definición (Scoping)</w:t>
      </w:r>
    </w:p>
    <w:p w14:paraId="47CAF7C9" w14:textId="5090AADE" w:rsidR="00FB2CAB" w:rsidRDefault="00FB2CAB">
      <w:pPr>
        <w:rPr>
          <w:b/>
        </w:rPr>
      </w:pPr>
      <w:r>
        <w:rPr>
          <w:b/>
        </w:rPr>
        <w:t>1.1 Objetivo general</w:t>
      </w:r>
    </w:p>
    <w:p w14:paraId="385D8DBB" w14:textId="0CEFB508" w:rsidR="00FB2CAB" w:rsidRDefault="00FB2CAB">
      <w:pPr>
        <w:rPr>
          <w:sz w:val="22"/>
        </w:rPr>
      </w:pPr>
      <w:r>
        <w:rPr>
          <w:sz w:val="22"/>
        </w:rPr>
        <w:t>Analizar la refactorización de código Python generado por modelos de lenguaje grande, con el propósito de comparar la cantidad de vulnerabilidades de seguridad que se introducen o se mantienen, con respecto a dos modalidades de intervención (refactorización manual y refactorización asistida por sistemas de IA orientados a seguridad), desde el punto de vista de un equipo de desarrollo que necesita decidir cómo integrar código generado por IA en un producto real.</w:t>
      </w:r>
    </w:p>
    <w:p w14:paraId="2BAC2611" w14:textId="77777777" w:rsidR="00FB2CAB" w:rsidRDefault="00FB2CAB">
      <w:pPr>
        <w:rPr>
          <w:sz w:val="22"/>
        </w:rPr>
      </w:pPr>
    </w:p>
    <w:p w14:paraId="740A1A3E" w14:textId="429DC56B" w:rsidR="00FB2CAB" w:rsidRDefault="00FB2CAB">
      <w:pPr>
        <w:rPr>
          <w:b/>
        </w:rPr>
      </w:pPr>
      <w:r>
        <w:rPr>
          <w:b/>
        </w:rPr>
        <w:t>1.2 Preguntas de investigación</w:t>
      </w:r>
    </w:p>
    <w:p w14:paraId="00B3E81B" w14:textId="355F7938" w:rsidR="00FB2CAB" w:rsidRDefault="00FB2CAB">
      <w:pPr>
        <w:rPr>
          <w:sz w:val="22"/>
        </w:rPr>
      </w:pPr>
      <w:r>
        <w:rPr>
          <w:sz w:val="22"/>
        </w:rPr>
        <w:t>RQ1: ¿Cuántas vulnerabilidades de seguridad, clasificadas por categoría CWE, permanecen en el código después de la refactorización manual frente a la refactorización asistida por IA? RQ2: ¿Existen diferencias significativas en precisión y recall al identificar y corregir vulnerabilidades entre ambos grupos? RQ3: ¿Qué tasa de falsos positivos genera cada enfoque durante la validación posterior a la refactorización? RQ4: ¿El efecto de la asistencia de IA es uniforme entre categorías de vulnerabilidad, o varía entre fallos de patrón sintáctico y fallos lógicos o estructurales?</w:t>
      </w:r>
    </w:p>
    <w:p w14:paraId="4287180D" w14:textId="77777777" w:rsidR="00FB2CAB" w:rsidRDefault="00FB2CAB">
      <w:pPr>
        <w:rPr>
          <w:sz w:val="22"/>
        </w:rPr>
      </w:pPr>
    </w:p>
    <w:p w14:paraId="01BCC3B0" w14:textId="41ABEC23" w:rsidR="00FB2CAB" w:rsidRDefault="00FB2CAB">
      <w:pPr>
        <w:rPr>
          <w:b/>
        </w:rPr>
      </w:pPr>
      <w:r>
        <w:rPr>
          <w:b/>
        </w:rPr>
        <w:t>1.3 Métricas y justificación</w:t>
      </w:r>
    </w:p>
    <w:p w14:paraId="31497697" w14:textId="110CBAFB" w:rsidR="00FB2CAB" w:rsidRDefault="00FB2CAB">
      <w:pPr>
        <w:rPr>
          <w:sz w:val="22"/>
        </w:rPr>
      </w:pPr>
      <w:r>
        <w:rPr>
          <w:sz w:val="22"/>
        </w:rPr>
        <w:t>Las métricas se eligen porque son las que la literatura revisada usa para validar hallazgos comparables. Precisión y exhaustividad (recall): Vudenc reporta precisión de 82%-96% y recall de 78%-87% en la detección de siete tipos de vulnerabilidades en Python; el modelo BERT+LSTM de Bagheri y Hegedus (2024) alcanza una precisión promedio de 91% y un recall promedio de 83%. F1-score: Bae, Kwon y Myeong (2024) usan el F1-score como eje central de comparación entre GPT-4o (0.9072), Claude-3.5 Sonnet (0.8933) y GPT-3.5 Turbo (0.6772). Tasa de falsos positivos (FPR): Lee Song Haw Colin et al. usan el FPR (0.0125 en su mejor configuración) como criterio de superioridad. Reducción porcentual de código vulnerable: CodeEnhancer mide el porcentaje de fragmentos con al menos una vulnerabilidad antes y después de la intervención: 43.6% en el modelo base frente a 18.4% en el modelo ajustado. Tasa de éxito de reparación estática: Patcas y Motogna (2026) introducen esta métrica para evaluar si seis LLMs logran resolver, sin romper la sintaxis, los problemas que SonarQube reporta.</w:t>
      </w:r>
    </w:p>
    <w:p w14:paraId="05ED38EB" w14:textId="77777777" w:rsidR="00FB2CAB" w:rsidRDefault="00FB2CAB">
      <w:pPr>
        <w:rPr>
          <w:sz w:val="22"/>
        </w:rPr>
      </w:pPr>
    </w:p>
    <w:p w14:paraId="2BA21CB8" w14:textId="0534879A" w:rsidR="00FB2CAB" w:rsidRDefault="00FB2CAB">
      <w:pPr>
        <w:rPr>
          <w:b/>
        </w:rPr>
      </w:pPr>
      <w:r>
        <w:rPr>
          <w:b/>
        </w:rPr>
        <w:t>1.4 Hipótesis</w:t>
      </w:r>
    </w:p>
    <w:p w14:paraId="5FB45234" w14:textId="77D38E6F" w:rsidR="00FB2CAB" w:rsidRDefault="00FB2CAB">
      <w:pPr>
        <w:rPr>
          <w:sz w:val="22"/>
        </w:rPr>
      </w:pPr>
      <w:r>
        <w:rPr>
          <w:sz w:val="22"/>
        </w:rPr>
        <w:t>H0: no existe una diferencia estadísticamente significativa en la cantidad de vulnerabilidades de seguridad introducidas o mantenidas entre el código refactorizado manualmente y el código refactorizado con asistencia de sistemas de IA orientados a seguridad. H1: sí existe una diferencia estadísticamente significativa entre ambas condiciones. Ambas hipótesis se formulan con un nivel de significancia de α = 0.05.</w:t>
      </w:r>
    </w:p>
    <w:p w14:paraId="1273FE46" w14:textId="77777777" w:rsidR="00FB2CAB" w:rsidRDefault="00FB2CAB">
      <w:pPr>
        <w:rPr>
          <w:sz w:val="22"/>
        </w:rPr>
      </w:pPr>
    </w:p>
    <w:p w14:paraId="04999C5D" w14:textId="14104E24" w:rsidR="00FB2CAB" w:rsidRDefault="00FB2CAB">
      <w:pPr>
        <w:rPr>
          <w:b/>
        </w:rPr>
      </w:pPr>
      <w:r>
        <w:rPr>
          <w:b/>
        </w:rPr>
        <w:t>1.5 Variables</w:t>
      </w:r>
    </w:p>
    <w:p w14:paraId="1D040B1F" w14:textId="7FFC5ADC" w:rsidR="00FB2CAB" w:rsidRDefault="00FB2CAB">
      <w:pPr>
        <w:rPr>
          <w:sz w:val="22"/>
        </w:rPr>
      </w:pPr>
      <w:r>
        <w:rPr>
          <w:sz w:val="22"/>
        </w:rPr>
        <w:t>Las variables independientes son la modalidad de refactorización (manual / asistida por IA con SAST), el modelo LLM usado para generar el código base y la categoría CWE del fragmento. Las variables dependientes son el número de vulnerabilidades por categoría CWE antes y después de refactorizar, junto con la precisión, recall, F1-score y FPR de la detección posterior.</w:t>
      </w:r>
    </w:p>
    <w:p w14:paraId="3D68F38C" w14:textId="77777777" w:rsidR="00FB2CAB" w:rsidRDefault="00FB2CAB">
      <w:pPr>
        <w:rPr>
          <w:sz w:val="22"/>
        </w:rPr>
      </w:pPr>
    </w:p>
    <w:p w14:paraId="7B4D187B" w14:textId="57B12589" w:rsidR="00FB2CAB" w:rsidRDefault="00FB2CAB">
      <w:pPr>
        <w:rPr>
          <w:b/>
          <w:sz w:val="28"/>
        </w:rPr>
      </w:pPr>
      <w:r>
        <w:rPr>
          <w:b/>
          <w:sz w:val="28"/>
        </w:rPr>
        <w:t>Fase 2: Planificación (Planning)</w:t>
      </w:r>
    </w:p>
    <w:p w14:paraId="2B0E19F2" w14:textId="57061C46" w:rsidR="00FB2CAB" w:rsidRDefault="00FB2CAB">
      <w:pPr>
        <w:rPr>
          <w:b/>
        </w:rPr>
      </w:pPr>
      <w:r>
        <w:rPr>
          <w:b/>
        </w:rPr>
        <w:t>2.1 Selección de sujetos y contexto</w:t>
      </w:r>
    </w:p>
    <w:p w14:paraId="25A5CC36" w14:textId="36F30291" w:rsidR="00FB2CAB" w:rsidRDefault="00FB2CAB">
      <w:pPr>
        <w:rPr>
          <w:sz w:val="22"/>
        </w:rPr>
      </w:pPr>
      <w:r>
        <w:rPr>
          <w:sz w:val="22"/>
        </w:rPr>
        <w:t>Se propone una muestra mixta de entre 20 y 30 participantes: estudiantes avanzados de ingeniería de software con al menos un curso previo de Python, complementados con desarrolladores profesionales. Este diseño replica el de Nembhard, Carvalho y Eskridge (2019), quienes reclutaron participantes con composición mixta para su estudio de usabilidad tipo A/B. La experiencia declarada se registrará mediante una escala Likert.</w:t>
      </w:r>
    </w:p>
    <w:p w14:paraId="229E9EC2" w14:textId="77777777" w:rsidR="00FB2CAB" w:rsidRDefault="00FB2CAB">
      <w:pPr>
        <w:rPr>
          <w:sz w:val="22"/>
        </w:rPr>
      </w:pPr>
    </w:p>
    <w:p w14:paraId="5AFF3C74" w14:textId="0CBF164B" w:rsidR="00FB2CAB" w:rsidRDefault="00FB2CAB">
      <w:pPr>
        <w:rPr>
          <w:b/>
        </w:rPr>
      </w:pPr>
      <w:r>
        <w:rPr>
          <w:b/>
        </w:rPr>
        <w:t>2.2 Diseño del experimento</w:t>
      </w:r>
    </w:p>
    <w:p w14:paraId="02842112" w14:textId="1FF8AE83" w:rsidR="00FB2CAB" w:rsidRDefault="00FB2CAB">
      <w:pPr>
        <w:rPr>
          <w:sz w:val="22"/>
        </w:rPr>
      </w:pPr>
      <w:r>
        <w:rPr>
          <w:sz w:val="22"/>
        </w:rPr>
        <w:t>El experimento usa un diseño de dos grupos independientes con asignación aleatoria. El grupo de control realiza refactorización manual usando únicamente su editor o IDE y la documentación estándar del lenguaje, sin herramientas automáticas de seguridad. El grupo experimental realiza refactorización asistida por IA usando un sistema que integra un LLM con herramientas SAST, siguiendo el bucle iterativo de validación que describe CodeEnhancer. Cada muestra de código base se asignará aleatoriamente a un grupo para evitar que la dificultad de una muestra en particular sesgue los resultados.</w:t>
      </w:r>
    </w:p>
    <w:p w14:paraId="48B54ABE" w14:textId="77777777" w:rsidR="00FB2CAB" w:rsidRDefault="00FB2CAB">
      <w:pPr>
        <w:rPr>
          <w:sz w:val="22"/>
        </w:rPr>
      </w:pPr>
    </w:p>
    <w:p w14:paraId="3F0B1752" w14:textId="278A763D" w:rsidR="00FB2CAB" w:rsidRDefault="00FB2CAB">
      <w:pPr>
        <w:rPr>
          <w:b/>
        </w:rPr>
      </w:pPr>
      <w:r>
        <w:rPr>
          <w:b/>
        </w:rPr>
        <w:t>2.3 Instrumentación</w:t>
      </w:r>
    </w:p>
    <w:p w14:paraId="015F8289" w14:textId="734231FF" w:rsidR="00FB2CAB" w:rsidRDefault="00FB2CAB">
      <w:pPr>
        <w:rPr>
          <w:sz w:val="22"/>
        </w:rPr>
      </w:pPr>
      <w:r>
        <w:rPr>
          <w:sz w:val="22"/>
        </w:rPr>
        <w:t>Para generar el código base se usarán GPT-4o y Claude-3.5 Sonnet como modelos generadores, con la técnica de prompting Step-by-Step, que Bae, Kwon y Myeong (2024) demostraron obtuvo los mejores resultados para ambos modelos. Como herramientas SAST se usarán Bandit y Pylint, siguiendo la arquitectura de dos etapas de CodeEnhancer, complementadas con SonarQube y PMD. El sistema de refactorización asistida por IA del grupo experimental se construirá siguiendo el marco de CodeEnhancer: un ciclo iterativo donde el LLM recibe retroalimentación estructurada de Bandit y Pylint hasta que el código converja o se alcanze un número fijo de iteraciones. Para clasificar las vulnerabilidades se usará el CWE Top 25 como taxonomía principal, cruzado con el OWASP Top Ten.</w:t>
      </w:r>
    </w:p>
    <w:p w14:paraId="001CC172" w14:textId="77777777" w:rsidR="00FB2CAB" w:rsidRDefault="00FB2CAB">
      <w:pPr>
        <w:rPr>
          <w:sz w:val="22"/>
        </w:rPr>
      </w:pPr>
    </w:p>
    <w:p w14:paraId="3222BD98" w14:textId="79D04FD3" w:rsidR="00FB2CAB" w:rsidRDefault="00FB2CAB">
      <w:pPr>
        <w:rPr>
          <w:b/>
        </w:rPr>
      </w:pPr>
      <w:r>
        <w:rPr>
          <w:b/>
        </w:rPr>
        <w:t>2.4 Amenazas a la validez</w:t>
      </w:r>
    </w:p>
    <w:p w14:paraId="786A9F4E" w14:textId="08D9B8A3" w:rsidR="00FB2CAB" w:rsidRDefault="00FB2CAB">
      <w:pPr>
        <w:rPr>
          <w:sz w:val="22"/>
        </w:rPr>
      </w:pPr>
      <w:r>
        <w:rPr>
          <w:sz w:val="22"/>
        </w:rPr>
        <w:t>Amenaza a la validez interna: los grupos podrían diferir en nivel de habilidad antes de empezar, lo que se mitiga con asignación aleatoria y balanceo de grupos según la experiencia autodeclarada. Amenaza a la validez externa: los resultados se limitan a Python y a un subconjunto de categorías CWE, reconociendo esta limitación explícitamente. Amenaza a la validez de constructo: las herramientas SAST tienen su propia tasa de error, por lo que se exigirá que una vulnerabilidad se cuente como tal solo cuando dos detectores independientes coincidan, o cuando un detector coincida con la revisión de un evaluador humano. Amenaza a la validez de conclusión: con un tamaño de muestra moderado, se adoptan pruebas no paramétricas.</w:t>
      </w:r>
    </w:p>
    <w:p w14:paraId="701C87C4" w14:textId="77777777" w:rsidR="00FB2CAB" w:rsidRDefault="00FB2CAB">
      <w:pPr>
        <w:rPr>
          <w:sz w:val="22"/>
        </w:rPr>
      </w:pPr>
    </w:p>
    <w:p w14:paraId="1141B9D4" w14:textId="2182A22E" w:rsidR="00FB2CAB" w:rsidRDefault="00FB2CAB">
      <w:pPr>
        <w:rPr>
          <w:b/>
          <w:sz w:val="28"/>
        </w:rPr>
      </w:pPr>
      <w:r>
        <w:rPr>
          <w:b/>
          <w:sz w:val="28"/>
        </w:rPr>
        <w:t>Fase 3: Ejecución (Operation)</w:t>
      </w:r>
    </w:p>
    <w:p w14:paraId="7AFE554F" w14:textId="0A1BC072" w:rsidR="00FB2CAB" w:rsidRDefault="00FB2CAB">
      <w:pPr>
        <w:rPr>
          <w:b/>
        </w:rPr>
      </w:pPr>
      <w:r>
        <w:rPr>
          <w:b/>
        </w:rPr>
        <w:t>3.1 Preparación y protocolo de ejecución</w:t>
      </w:r>
    </w:p>
    <w:p w14:paraId="101483A8" w14:textId="64A0420F" w:rsidR="00FB2CAB" w:rsidRDefault="00FB2CAB">
      <w:pPr>
        <w:rPr>
          <w:sz w:val="22"/>
        </w:rPr>
      </w:pPr>
      <w:r>
        <w:rPr>
          <w:sz w:val="22"/>
        </w:rPr>
        <w:t>El protocolo sigue seis pasos. Primero, se generan las muestras de código base con GPT-4o y Claude-3.5 Sonnet usando prompting Step-by-Step, cubriendo una variedad representativa de categorías del CWE Top 25. Segundo, se ejecuta un escaneo SAST inicial (Bandit, Pylint, SonarQube) sobre cada muestra para registrar su perfil de vulnerabilidad de partida. Tercero, se asignan aleatoriamente muestras y participantes a la condición manual o a la condición asistida por IA, balanceando por experiencia declarada. Cuarto, el grupo manual refactoriza usando solo su IDE y documentación estándar, sin exposición a herramientas automáticas de seguridad. Quinto, el grupo asistido por IA refactoriza usando el ciclo iterativo SAST más LLM descrito en la Fase 2, con retroalimentación de Bandit y Pylint incorporada hasta la convergencia. Sexto, se aplica un escaneo SAST posterior a la refactorización, más una verificación manual, sobre el resultado de ambos grupos.</w:t>
      </w:r>
    </w:p>
    <w:p w14:paraId="3FFFB6B9" w14:textId="77777777" w:rsidR="00FB2CAB" w:rsidRDefault="00FB2CAB">
      <w:pPr>
        <w:rPr>
          <w:sz w:val="22"/>
        </w:rPr>
      </w:pPr>
    </w:p>
    <w:p w14:paraId="53DE52B8" w14:textId="13182EBE" w:rsidR="00FB2CAB" w:rsidRDefault="00FB2CAB">
      <w:pPr>
        <w:rPr>
          <w:b/>
        </w:rPr>
      </w:pPr>
      <w:r>
        <w:rPr>
          <w:b/>
        </w:rPr>
        <w:t>3.2 Validación de datos</w:t>
      </w:r>
    </w:p>
    <w:p w14:paraId="429FD6DE" w14:textId="1BF1FEF7" w:rsidR="00FB2CAB" w:rsidRDefault="00FB2CAB">
      <w:pPr>
        <w:rPr>
          <w:sz w:val="22"/>
        </w:rPr>
      </w:pPr>
      <w:r>
        <w:rPr>
          <w:sz w:val="22"/>
        </w:rPr>
        <w:t>Para asegurar que las vulnerabilidades contadas sean reales y no falsos positivos del detector, se combinan varias estrategias de la literatura revisada. Vudenc valida sus hallazgos con revisión manual de confirmaciones reales de corrección en GitHub. Diouf et al. (2026) cruzaron varias bases de datos de vulnerabilidades. Lomio et al. (2022) mitigan el problema del algoritmo SZZ adoptando PyDriller. Sobre esa base, nuestro protocolo exige que una vulnerabilidad se registre solo cuando la reporten al menos dos detectores independientes, o un detector junto con la revisión de un evaluador humano. Antes de calificar una muestra, se verificará también que la refactorización efectivamente haya ocurrido usando una herramienta de detección de refactorizaciones como RMiner.</w:t>
      </w:r>
    </w:p>
    <w:p w14:paraId="7BCB89C8" w14:textId="77777777" w:rsidR="00FB2CAB" w:rsidRDefault="00FB2CAB">
      <w:pPr>
        <w:rPr>
          <w:sz w:val="22"/>
        </w:rPr>
      </w:pPr>
    </w:p>
    <w:p w14:paraId="066B4B3F" w14:textId="5D325340" w:rsidR="00FB2CAB" w:rsidRDefault="00FB2CAB">
      <w:pPr>
        <w:rPr>
          <w:b/>
          <w:sz w:val="28"/>
        </w:rPr>
      </w:pPr>
      <w:r>
        <w:rPr>
          <w:b/>
          <w:sz w:val="28"/>
        </w:rPr>
        <w:t>Fase 4: Análisis e Interpretación</w:t>
      </w:r>
    </w:p>
    <w:p w14:paraId="0C004B67" w14:textId="025978FA" w:rsidR="00FB2CAB" w:rsidRDefault="00FB2CAB">
      <w:pPr>
        <w:rPr>
          <w:b/>
        </w:rPr>
      </w:pPr>
      <w:r>
        <w:rPr>
          <w:b/>
        </w:rPr>
        <w:t>4.1 Análisis estadístico propuesto</w:t>
      </w:r>
    </w:p>
    <w:p w14:paraId="5ADAE100" w14:textId="361F3DA0" w:rsidR="00FB2CAB" w:rsidRDefault="00FB2CAB">
      <w:pPr>
        <w:rPr>
          <w:sz w:val="22"/>
        </w:rPr>
      </w:pPr>
      <w:r>
        <w:rPr>
          <w:sz w:val="22"/>
        </w:rPr>
        <w:t>Primero se calculará estadística descriptiva por grupo (media, mediana, desviación estándar, cuartiles) y se compararán las distribuciones con gráficos de densidad y de caja. Como prueba principal se usará Mann-Whitney U, una prueba no paramétrica que no asume normalidad, es robusta ante valores atípicos y está pensada para comparar dos muestras independientes. Se complementará con el coeficiente Cliff's Delta para medir el tamaño del efecto. Si en una fase posterior se amplía la comparación a más de dos configuraciones, se aplicará la prueba post hoc de Nemenyi. Si se opta por un diseño de medidas repetidas, se usarán la prueba t pareada junto con ANOVA de un factor. En todos los casos se fija el nivel de significancia en α = 0.05.</w:t>
      </w:r>
    </w:p>
    <w:p w14:paraId="01B932CB" w14:textId="77777777" w:rsidR="00FB2CAB" w:rsidRDefault="00FB2CAB">
      <w:pPr>
        <w:rPr>
          <w:sz w:val="22"/>
        </w:rPr>
      </w:pPr>
    </w:p>
    <w:p w14:paraId="41CE8B57" w14:textId="2BC45D0D" w:rsidR="00FB2CAB" w:rsidRDefault="00FB2CAB">
      <w:pPr>
        <w:rPr>
          <w:b/>
        </w:rPr>
      </w:pPr>
      <w:r>
        <w:rPr>
          <w:b/>
        </w:rPr>
        <w:t>4.2 Resultados esperados</w:t>
      </w:r>
    </w:p>
    <w:p w14:paraId="58F43A41" w14:textId="6A04CC4B" w:rsidR="00FB2CAB" w:rsidRDefault="00FB2CAB">
      <w:pPr>
        <w:rPr>
          <w:sz w:val="22"/>
        </w:rPr>
      </w:pPr>
      <w:r>
        <w:rPr>
          <w:sz w:val="22"/>
        </w:rPr>
        <w:t>Con base en la reducción que documenta CodeEnhancer (de 43.6% a 18.4% de fragmentos vulnerables con el modelo ajustado) y en la mejora de F1 que reportan Bae, Kwon y Myeong (2024) al pasar de GPT-3.5 Turbo (0.6772) a GPT-4o (0.9072), se espera que el grupo asistido por IA muestre una reducción estadísticamente significativa en el número de vulnerabilidades mantenidas o introducidas frente al grupo manual, suficiente para rechazar H0. No se espera, sin embargo, que ese efecto sea uniforme entre categorías de vulnerabilidad. La literatura revisada sugiere que las herramientas SAST y los LLMs son especialmente efectivos contra fallos de patrón sintáctico, como la inyección SQL (CWE-89) o la inyección de comandos (CWE-78), mientras que los fallos lógicos o estructurales dependen más de una comprensión semántica del código. Por lo que, al responder RQ4, se anticipa un efecto más marcado en vulnerabilidades de patrón que en fallos estructurales. También se espera que la mejora en precisión sea más clara que la mejora en recall dentro del grupo asistido por IA, siguiendo el patrón asimétrico que aparece en Vudenc (precisión 82%-96% frente a recall 78%-87%).</w:t>
      </w:r>
    </w:p>
    <w:p w14:paraId="040A941D" w14:textId="77777777" w:rsidR="00FB2CAB" w:rsidRDefault="00FB2CAB">
      <w:pPr>
        <w:rPr>
          <w:sz w:val="22"/>
        </w:rPr>
      </w:pPr>
    </w:p>
    <w:p w14:paraId="60F784FB" w14:textId="12B58CE5" w:rsidR="00FB2CAB" w:rsidRDefault="00FB2CAB">
      <w:pPr>
        <w:rPr>
          <w:b/>
          <w:sz w:val="28"/>
        </w:rPr>
      </w:pPr>
      <w:r>
        <w:rPr>
          <w:b/>
          <w:sz w:val="28"/>
        </w:rPr>
        <w:t>Fase 5: Presentación y Conclusiones</w:t>
      </w:r>
    </w:p>
    <w:p w14:paraId="2215F92B" w14:textId="40049E5E" w:rsidR="00FB2CAB" w:rsidRDefault="00FB2CAB">
      <w:pPr>
        <w:rPr>
          <w:b/>
        </w:rPr>
      </w:pPr>
      <w:r>
        <w:rPr>
          <w:b/>
        </w:rPr>
        <w:t>5.1 Relevancia para la industria</w:t>
      </w:r>
    </w:p>
    <w:p w14:paraId="028A9346" w14:textId="084D0583" w:rsidR="00FB2CAB" w:rsidRDefault="00FB2CAB">
      <w:pPr>
        <w:rPr>
          <w:sz w:val="22"/>
        </w:rPr>
      </w:pPr>
      <w:r>
        <w:rPr>
          <w:sz w:val="22"/>
        </w:rPr>
        <w:t>La motivación original de este dominio de investigación sigue vigente: las vulnerabilidades de software amenazan directamente sectores como las finanzas, la salud y la infraestructura crítica. Lo que ha cambiado es la fuente del código. CodeEnhancer demuestra que incluso un modelo de última generación como GPT-4o produce debilidades del CWE Top 25, y Filus y Domanska (2023) muestran que ni siquiera los frameworks especializados en aprendizaje profundo están libres de vulnerabilidades propias. En conjunto, estos hallazgos indican que las organizaciones que adoptan código generado por IA heredan una deuda de seguridad que la investigación centrada solo en la generación no ha resuelto. Alromaizan et al. (2026) sostienen, tras revisar 35 fuentes académicas y corporativas, que la mayoría de las vulnerabilidades persisten no por falta de herramientas de seguridad disponibles, sino porque los desarrolladores no integran la seguridad en su práctica diaria de codificación. Este experimento no propone una herramienta de detección más, sino que pone a prueba si insertar IA y SAST dentro de una tarea rutinaria, la refactorización, cambia realmente el resultado para las personas que hacen ese trabajo todos los días.</w:t>
      </w:r>
    </w:p>
    <w:p w14:paraId="5D823843" w14:textId="77777777" w:rsidR="00FB2CAB" w:rsidRDefault="00FB2CAB">
      <w:pPr>
        <w:rPr>
          <w:sz w:val="22"/>
        </w:rPr>
      </w:pPr>
    </w:p>
    <w:p w14:paraId="308D2E78" w14:textId="333C7627" w:rsidR="00FB2CAB" w:rsidRDefault="00FB2CAB">
      <w:pPr>
        <w:rPr>
          <w:b/>
        </w:rPr>
      </w:pPr>
      <w:r>
        <w:rPr>
          <w:b/>
        </w:rPr>
        <w:t>5.2 Trabajo futuro</w:t>
      </w:r>
    </w:p>
    <w:p w14:paraId="20028115" w14:textId="65CE5556" w:rsidR="00FB2CAB" w:rsidRDefault="00FB2CAB">
      <w:pPr>
        <w:rPr>
          <w:sz w:val="22"/>
        </w:rPr>
      </w:pPr>
      <w:r>
        <w:rPr>
          <w:sz w:val="22"/>
        </w:rPr>
        <w:t>Se proponen cuatro líneas de continuación directamente alineadas con vacíos que los propios autores de la literatura revisada señalan. Primero, una réplica a mayor escala en otros lenguajes y en contextos industriales. Segundo, extender la comparación a varias familías de LLM en lugar de una sola, como hicieron Patcas y Motogna (2026) al evaluar seis modelos distintos. Tercero, incorporar de forma más profunda una capa de detección semántica basada en grafos, en la línea de Devign. Cuarto, construir un banco de pruebas construido específicamente para tareas de refactorización, dado que los conjuntos de datos actuales como LLMSecEval y SecurityEval se construyeron para evaluar generación de código, no refactorización.</w:t>
      </w:r>
    </w:p>
    <w:p w14:paraId="760B0859" w14:textId="77777777" w:rsidR="00FB2CAB" w:rsidRDefault="00FB2CAB">
      <w:pPr>
        <w:rPr>
          <w:sz w:val="22"/>
        </w:rPr>
      </w:pPr>
    </w:p>
    <w:p w14:paraId="25A67AEF" w14:textId="7EC6FA7D" w:rsidR="00FB2CAB" w:rsidRDefault="00FB2CAB">
      <w:pPr>
        <w:rPr>
          <w:b/>
          <w:sz w:val="28"/>
        </w:rPr>
      </w:pPr>
      <w:r>
        <w:rPr>
          <w:b/>
          <w:sz w:val="28"/>
        </w:rPr>
        <w:t>Referencias</w:t>
      </w:r>
    </w:p>
    <w:p w14:paraId="1F767199" w14:textId="4D0C2747" w:rsidR="00FB2CAB" w:rsidRDefault="00FB2CAB">
      <w:pPr>
        <w:rPr>
          <w:sz w:val="22"/>
        </w:rPr>
      </w:pPr>
      <w:r>
        <w:rPr>
          <w:sz w:val="22"/>
        </w:rPr>
        <w:t>Aladics, T., Hegedus, P., &amp; Ferenc, R. (2024). A comparative study of commit representations for JIT vulnerability prediction. Computers (MDPI). Alromaizan, A., et al. (2026). Toward a unified framework for secure coding. MDPI. Bae, J., Kwon, S., &amp; Myeong, S. (2024). Enhancing software code vulnerability detection using GPT-4o and Claude-3.5 Sonnet. Electronics (MDPI). Bagheri, A., &amp; Hegedus, P. (2024). Towards a block-level ML-based Python vulnerability detection tool. Acta Cybernetica, 26, 323-371. Diouf, M., et al. (2026). Predicting software security bugs using machine learning and quality metrics. Computers, Materials &amp; Continua, 87(3). Filus, K., &amp; Domanska, J. (2023). Software vulnerabilities in TensorFlow-based deep learning applications. Computers &amp; Security, 124, 102948. Halepmollasi, R. A., &amp; Tosun, A. (2025). Predicting vulnerable code changes using technical debt indicators. IEEE Access, 13. Lee, J., et al. (2026). CodeEnhancer: LLM-generated Python code enhancement through SAST integration and fine-tuning. Knowledge-Based Systems, 342, 115925. Lee Song Haw, C., et al. An integrated smart contract vulnerability detection tool. IEEE Access, 11. Liu, Y., et al. Refining ChatGPT-generated code: Characterizing and mitigating code quality issues. Lomio, F., et al. (2022). Just-in-time software vulnerability detection: Are we there yet? Journal of Systems and Software, 188, 111283. Mnasri, M., et al. A systematic literature review on security testing of Ethereum smart contracts. Blockchain: Research and Applications, 7, 100314. Nembhard, F. D., et al. (2019). Towards the application of recommender systems to secure coding. EURASIP Journal on Information Security, 2019(9). Patcas, R., &amp; Motogna, S. (2026). An evaluation study of large language models for addressing code quality issues. Empirical Software Engineering, 31, 118. Prabith, G. S., et al. (2024). BiT5: A bidirectional NLP approach for advanced vulnerability detection in codebase. Procedia Computer Science, 233, 812-821. Tang, B., et al. CAPRA: Context-aware patch risk assessment. Computers &amp; Security. Wartschinski, L., et al. VUDENC: Vulnerability detection with deep learning on a natural codebase for Python. Zhang, F., et al. Does the vulnerability threaten our projects? Automated vulnerable API detection. Zhou, Y., et al. (2019). Devign: Effective vulnerability identification via graph neural networks. NeurIPS, 32.</w:t>
      </w:r>
    </w:p>
    <w:p w14:paraId="0062F716" w14:textId="77777777" w:rsidR="00FB2CAB" w:rsidRDefault="00FB2CAB">
      <w:pPr>
        <w:rPr>
          <w:sz w:val="22"/>
        </w:rPr>
      </w:pPr>
    </w:p>
    <w:p w14:paraId="77AEF591" w14:textId="77777777" w:rsidR="00FB2CAB" w:rsidRPr="00FB2CAB" w:rsidRDefault="00FB2CAB">
      <w:pPr>
        <w:rPr>
          <w:sz w:val="22"/>
        </w:rPr>
      </w:pPr>
    </w:p>
    <w:sectPr w:rsidR="00FB2CAB" w:rsidRPr="00FB2CA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CAB"/>
    <w:rsid w:val="000E4951"/>
    <w:rsid w:val="00185A87"/>
    <w:rsid w:val="005A682B"/>
    <w:rsid w:val="00FB2CA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F1FDC"/>
  <w15:chartTrackingRefBased/>
  <w15:docId w15:val="{4827D0BB-3C15-47E8-87B9-6CB5915F4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B2C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B2C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B2CA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B2CA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B2CA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B2CA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B2CA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B2CA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B2CA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B2CA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B2CA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B2CA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B2CA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B2CA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B2CA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B2CA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B2CA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B2CAB"/>
    <w:rPr>
      <w:rFonts w:eastAsiaTheme="majorEastAsia" w:cstheme="majorBidi"/>
      <w:color w:val="272727" w:themeColor="text1" w:themeTint="D8"/>
    </w:rPr>
  </w:style>
  <w:style w:type="paragraph" w:styleId="Ttulo">
    <w:name w:val="Title"/>
    <w:basedOn w:val="Normal"/>
    <w:next w:val="Normal"/>
    <w:link w:val="TtuloCar"/>
    <w:uiPriority w:val="10"/>
    <w:qFormat/>
    <w:rsid w:val="00FB2C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B2CA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B2CA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B2CA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B2CAB"/>
    <w:pPr>
      <w:spacing w:before="160"/>
      <w:jc w:val="center"/>
    </w:pPr>
    <w:rPr>
      <w:i/>
      <w:iCs/>
      <w:color w:val="404040" w:themeColor="text1" w:themeTint="BF"/>
    </w:rPr>
  </w:style>
  <w:style w:type="character" w:customStyle="1" w:styleId="CitaCar">
    <w:name w:val="Cita Car"/>
    <w:basedOn w:val="Fuentedeprrafopredeter"/>
    <w:link w:val="Cita"/>
    <w:uiPriority w:val="29"/>
    <w:rsid w:val="00FB2CAB"/>
    <w:rPr>
      <w:i/>
      <w:iCs/>
      <w:color w:val="404040" w:themeColor="text1" w:themeTint="BF"/>
    </w:rPr>
  </w:style>
  <w:style w:type="paragraph" w:styleId="Prrafodelista">
    <w:name w:val="List Paragraph"/>
    <w:basedOn w:val="Normal"/>
    <w:uiPriority w:val="34"/>
    <w:qFormat/>
    <w:rsid w:val="00FB2CAB"/>
    <w:pPr>
      <w:ind w:left="720"/>
      <w:contextualSpacing/>
    </w:pPr>
  </w:style>
  <w:style w:type="character" w:styleId="nfasisintenso">
    <w:name w:val="Intense Emphasis"/>
    <w:basedOn w:val="Fuentedeprrafopredeter"/>
    <w:uiPriority w:val="21"/>
    <w:qFormat/>
    <w:rsid w:val="00FB2CAB"/>
    <w:rPr>
      <w:i/>
      <w:iCs/>
      <w:color w:val="0F4761" w:themeColor="accent1" w:themeShade="BF"/>
    </w:rPr>
  </w:style>
  <w:style w:type="paragraph" w:styleId="Citadestacada">
    <w:name w:val="Intense Quote"/>
    <w:basedOn w:val="Normal"/>
    <w:next w:val="Normal"/>
    <w:link w:val="CitadestacadaCar"/>
    <w:uiPriority w:val="30"/>
    <w:qFormat/>
    <w:rsid w:val="00FB2C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B2CAB"/>
    <w:rPr>
      <w:i/>
      <w:iCs/>
      <w:color w:val="0F4761" w:themeColor="accent1" w:themeShade="BF"/>
    </w:rPr>
  </w:style>
  <w:style w:type="character" w:styleId="Referenciaintensa">
    <w:name w:val="Intense Reference"/>
    <w:basedOn w:val="Fuentedeprrafopredeter"/>
    <w:uiPriority w:val="32"/>
    <w:qFormat/>
    <w:rsid w:val="00FB2C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2315</Words>
  <Characters>12734</Characters>
  <Application>Microsoft Office Word</Application>
  <DocSecurity>0</DocSecurity>
  <Lines>106</Lines>
  <Paragraphs>30</Paragraphs>
  <ScaleCrop>false</ScaleCrop>
  <Company/>
  <LinksUpToDate>false</LinksUpToDate>
  <CharactersWithSpaces>15019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Josue Chango</dc:creator>
  <cp:keywords/>
  <dc:description/>
  <cp:lastModifiedBy>Josue Chango</cp:lastModifiedBy>
  <cp:revision>1</cp:revision>
  <dcterms:created xsi:type="dcterms:W3CDTF">2026-07-21T02:18:00Z</dcterms:created>
  <dcterms:modified xsi:type="dcterms:W3CDTF">2026-07-21T02:18:00Z</dcterms:modified>
</cp:coreProperties>
</file>