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76" w:lineRule="auto"/>
        <w:jc w:val="center"/>
      </w:pPr>
      <w:r>
        <w:rPr>
          <w:rFonts w:ascii="Calibri" w:hAnsi="Calibri"/>
          <w:b/>
          <w:i w:val="0"/>
          <w:sz w:val="32"/>
        </w:rPr>
        <w:t>Diseño de un experimento empírico sobre vulnerabilidades en la refactorización de código generado por IA</w:t>
      </w:r>
    </w:p>
    <w:p>
      <w:pPr>
        <w:spacing w:before="0" w:after="320" w:line="276" w:lineRule="auto"/>
        <w:jc w:val="center"/>
      </w:pPr>
      <w:r>
        <w:rPr>
          <w:rFonts w:ascii="Calibri" w:hAnsi="Calibri"/>
          <w:b w:val="0"/>
          <w:i/>
          <w:sz w:val="22"/>
        </w:rPr>
        <w:t>Propuesta metodológica en cinco fases, fundamentada en la revisión de 39 estudios sobre detección de vulnerabilidades, aprendizaje profundo, modelos de lenguaje y herramientas SAST</w:t>
      </w:r>
    </w:p>
    <w:p>
      <w:pPr>
        <w:spacing w:before="0" w:after="160" w:line="276" w:lineRule="auto"/>
        <w:jc w:val="both"/>
      </w:pPr>
      <w:r>
        <w:rPr>
          <w:rFonts w:ascii="Calibri" w:hAnsi="Calibri"/>
          <w:b w:val="0"/>
          <w:i w:val="0"/>
          <w:sz w:val="22"/>
        </w:rPr>
        <w:t>El código que producen los modelos de lenguaje grande rara vez sale limpio de fallos de seguridad. CodeEnhancer, el sistema de Lee et al. (2026) que combina LLMs con herramientas de análisis estático (SAST), documentó que incluso un modelo tan capaz como GPT-4o genera por defecto debilidades listadas en el CWE Top 25, entre ellas inyección de comandos (CWE-78) e inyección SQL (CWE-89). Ese hallazgo deja abierta una pregunta que la literatura sobre generación de código no responde: qué ocurre con esas vulnerabilidades cuando un desarrollador humano refactoriza ese código, lo adapta al proyecto real y lo deja listo para producción. Esta propuesta diseña un experimento para responder esa pregunta, comparando la refactorización puramente manual con la refactorización asistida por sistemas de IA orientados a seguridad. Cada decisión metodológica se apoya en un estudio concreto de los 39 revisados, con sus cifras y su diseño experimental como respaldo.</w:t>
      </w:r>
    </w:p>
    <w:p>
      <w:pPr>
        <w:pStyle w:val="Heading1"/>
        <w:spacing w:before="360" w:after="160" w:line="276" w:lineRule="auto"/>
      </w:pPr>
      <w:r>
        <w:rPr>
          <w:rFonts w:ascii="Calibri" w:hAnsi="Calibri"/>
        </w:rPr>
        <w:t>Fase 1: Definición (Scoping)</w:t>
      </w:r>
    </w:p>
    <w:p>
      <w:pPr>
        <w:pStyle w:val="Heading2"/>
        <w:spacing w:before="240" w:after="120" w:line="276" w:lineRule="auto"/>
      </w:pPr>
      <w:r>
        <w:rPr>
          <w:rFonts w:ascii="Calibri" w:hAnsi="Calibri"/>
        </w:rPr>
        <w:t>1.1 Objetivo general (plantilla GQM)</w:t>
      </w:r>
    </w:p>
    <w:p>
      <w:pPr>
        <w:spacing w:before="0" w:after="160" w:line="276" w:lineRule="auto"/>
        <w:jc w:val="both"/>
      </w:pPr>
      <w:r>
        <w:rPr>
          <w:rFonts w:ascii="Calibri" w:hAnsi="Calibri"/>
          <w:b w:val="0"/>
          <w:i w:val="0"/>
          <w:sz w:val="22"/>
        </w:rPr>
        <w:t>Analizar la refactorización de código Python generado por modelos de lenguaje grande, con el propósito de comparar la cantidad de vulnerabilidades de seguridad que se introducen o se mantienen, con respecto a dos modalidades de intervención (refactorización manual y refactorización asistida por sistemas de IA orientados a seguridad), desde el punto de vista de un equipo de desarrollo que necesita decidir cómo integrar código generado por IA en un producto real, en el contexto de desarrolladores y estudiantes avanzados de ingeniería de software que trabajan sobre proyectos Python de complejidad media.</w:t>
      </w:r>
    </w:p>
    <w:p>
      <w:pPr>
        <w:pStyle w:val="Heading2"/>
        <w:spacing w:before="240" w:after="120" w:line="276" w:lineRule="auto"/>
      </w:pPr>
      <w:r>
        <w:rPr>
          <w:rFonts w:ascii="Calibri" w:hAnsi="Calibri"/>
        </w:rPr>
        <w:t>1.2 Preguntas de investigación</w:t>
      </w:r>
    </w:p>
    <w:p>
      <w:pPr>
        <w:pStyle w:val="ListBullet"/>
        <w:spacing w:before="0" w:after="100" w:line="276" w:lineRule="auto"/>
        <w:jc w:val="both"/>
      </w:pPr>
      <w:r>
        <w:rPr>
          <w:rFonts w:ascii="Calibri" w:hAnsi="Calibri"/>
          <w:b w:val="0"/>
          <w:i w:val="0"/>
          <w:sz w:val="22"/>
        </w:rPr>
        <w:t>RQ1: ¿Cuántas vulnerabilidades de seguridad, clasificadas por categoría CWE, permanecen en el código después de la refactorización manual frente a la refactorización asistida por IA?</w:t>
      </w:r>
    </w:p>
    <w:p>
      <w:pPr>
        <w:pStyle w:val="ListBullet"/>
        <w:spacing w:before="0" w:after="100" w:line="276" w:lineRule="auto"/>
        <w:jc w:val="both"/>
      </w:pPr>
      <w:r>
        <w:rPr>
          <w:rFonts w:ascii="Calibri" w:hAnsi="Calibri"/>
          <w:b w:val="0"/>
          <w:i w:val="0"/>
          <w:sz w:val="22"/>
        </w:rPr>
        <w:t>RQ2: ¿Existen diferencias significativas en precisión y recall al identificar y corregir vulnerabilidades entre ambos grupos?</w:t>
      </w:r>
    </w:p>
    <w:p>
      <w:pPr>
        <w:pStyle w:val="ListBullet"/>
        <w:spacing w:before="0" w:after="100" w:line="276" w:lineRule="auto"/>
        <w:jc w:val="both"/>
      </w:pPr>
      <w:r>
        <w:rPr>
          <w:rFonts w:ascii="Calibri" w:hAnsi="Calibri"/>
          <w:b w:val="0"/>
          <w:i w:val="0"/>
          <w:sz w:val="22"/>
        </w:rPr>
        <w:t>RQ3: ¿Qué tasa de falsos positivos genera cada enfoque durante la validación posterior a la refactorización?</w:t>
      </w:r>
    </w:p>
    <w:p>
      <w:pPr>
        <w:pStyle w:val="ListBullet"/>
        <w:spacing w:before="0" w:after="100" w:line="276" w:lineRule="auto"/>
        <w:jc w:val="both"/>
      </w:pPr>
      <w:r>
        <w:rPr>
          <w:rFonts w:ascii="Calibri" w:hAnsi="Calibri"/>
          <w:b w:val="0"/>
          <w:i w:val="0"/>
          <w:sz w:val="22"/>
        </w:rPr>
        <w:t>RQ4: ¿El efecto de la asistencia de IA es uniforme entre categorías de vulnerabilidad, o varía entre fallos de patrón sintáctico y fallos lógicos o estructurales?</w:t>
      </w:r>
    </w:p>
    <w:p>
      <w:pPr>
        <w:pStyle w:val="Heading2"/>
        <w:spacing w:before="240" w:after="120" w:line="276" w:lineRule="auto"/>
      </w:pPr>
      <w:r>
        <w:rPr>
          <w:rFonts w:ascii="Calibri" w:hAnsi="Calibri"/>
        </w:rPr>
        <w:t>1.3 Métricas y su justificación</w:t>
      </w:r>
    </w:p>
    <w:p>
      <w:pPr>
        <w:spacing w:before="0" w:after="160" w:line="276" w:lineRule="auto"/>
        <w:jc w:val="both"/>
      </w:pPr>
      <w:r>
        <w:rPr>
          <w:rFonts w:ascii="Calibri" w:hAnsi="Calibri"/>
          <w:b w:val="0"/>
          <w:i w:val="0"/>
          <w:sz w:val="22"/>
        </w:rPr>
        <w:t>Las métricas siguientes no se eligen por convención, sino porque son las que la literatura revisada usa para validar hallazgos comparables al nuestro:</w:t>
      </w:r>
    </w:p>
    <w:tbl>
      <w:tblPr>
        <w:tblStyle w:val="TableGrid"/>
        <w:tblW w:type="auto" w:w="0"/>
        <w:tblLook w:firstColumn="1" w:firstRow="1" w:lastColumn="0" w:lastRow="0" w:noHBand="0" w:noVBand="1" w:val="04A0"/>
      </w:tblPr>
      <w:tblGrid>
        <w:gridCol w:w="4680"/>
        <w:gridCol w:w="4680"/>
      </w:tblGrid>
      <w:tr>
        <w:tc>
          <w:tcPr>
            <w:tcW w:type="dxa" w:w="4680"/>
            <w:shd w:fill="D9E2F3"/>
          </w:tcPr>
          <w:p>
            <w:pPr>
              <w:spacing w:before="0" w:after="60" w:line="276" w:lineRule="auto"/>
            </w:pPr>
            <w:r>
              <w:rPr>
                <w:rFonts w:ascii="Calibri" w:hAnsi="Calibri"/>
                <w:b/>
                <w:i w:val="0"/>
                <w:sz w:val="19"/>
              </w:rPr>
              <w:t>Métrica</w:t>
            </w:r>
          </w:p>
        </w:tc>
        <w:tc>
          <w:tcPr>
            <w:tcW w:type="dxa" w:w="4680"/>
            <w:shd w:fill="D9E2F3"/>
          </w:tcPr>
          <w:p>
            <w:pPr>
              <w:spacing w:before="0" w:after="60" w:line="276" w:lineRule="auto"/>
            </w:pPr>
            <w:r>
              <w:rPr>
                <w:rFonts w:ascii="Calibri" w:hAnsi="Calibri"/>
                <w:b/>
                <w:i w:val="0"/>
                <w:sz w:val="19"/>
              </w:rPr>
              <w:t>Justificación en la literatura revisada</w:t>
            </w:r>
          </w:p>
        </w:tc>
      </w:tr>
      <w:tr>
        <w:tc>
          <w:tcPr>
            <w:tcW w:type="dxa" w:w="4680"/>
          </w:tcPr>
          <w:p>
            <w:pPr>
              <w:spacing w:before="0" w:after="60" w:line="276" w:lineRule="auto"/>
            </w:pPr>
            <w:r>
              <w:rPr>
                <w:rFonts w:ascii="Calibri" w:hAnsi="Calibri"/>
                <w:b w:val="0"/>
                <w:i w:val="0"/>
                <w:sz w:val="19"/>
              </w:rPr>
              <w:t>Precisión y exhaustividad (recall)</w:t>
            </w:r>
          </w:p>
        </w:tc>
        <w:tc>
          <w:tcPr>
            <w:tcW w:type="dxa" w:w="4680"/>
          </w:tcPr>
          <w:p>
            <w:pPr>
              <w:spacing w:before="0" w:after="60" w:line="276" w:lineRule="auto"/>
            </w:pPr>
            <w:r>
              <w:rPr>
                <w:rFonts w:ascii="Calibri" w:hAnsi="Calibri"/>
                <w:b w:val="0"/>
                <w:i w:val="0"/>
                <w:sz w:val="19"/>
              </w:rPr>
              <w:t>Vudenc reporta precisión de 82%-96% y recall de 78%-87% en la detección de siete tipos de vulnerabilidades en Python (Wartschinski et al.); el modelo BERT+LSTM de Bagheri y Hegedűs (2024) alcanza una precisión promedio de 91% y un recall promedio de 83%. Ambos estudios reportan las dos métricas juntas, nunca por separado, lo que fija el estándar que seguimos aquí.</w:t>
            </w:r>
          </w:p>
        </w:tc>
      </w:tr>
      <w:tr>
        <w:tc>
          <w:tcPr>
            <w:tcW w:type="dxa" w:w="4680"/>
          </w:tcPr>
          <w:p>
            <w:pPr>
              <w:spacing w:before="0" w:after="60" w:line="276" w:lineRule="auto"/>
            </w:pPr>
            <w:r>
              <w:rPr>
                <w:rFonts w:ascii="Calibri" w:hAnsi="Calibri"/>
                <w:b w:val="0"/>
                <w:i w:val="0"/>
                <w:sz w:val="19"/>
              </w:rPr>
              <w:t>F1-score</w:t>
            </w:r>
          </w:p>
        </w:tc>
        <w:tc>
          <w:tcPr>
            <w:tcW w:type="dxa" w:w="4680"/>
          </w:tcPr>
          <w:p>
            <w:pPr>
              <w:spacing w:before="0" w:after="60" w:line="276" w:lineRule="auto"/>
            </w:pPr>
            <w:r>
              <w:rPr>
                <w:rFonts w:ascii="Calibri" w:hAnsi="Calibri"/>
                <w:b w:val="0"/>
                <w:i w:val="0"/>
                <w:sz w:val="19"/>
              </w:rPr>
              <w:t>Bae, Kwon y Myeong (2024) usan el F1-score como eje central de comparación entre GPT-4o (0.9072), Claude-3.5 Sonnet (0.8933) y GPT-3.5 Turbo (0.6772) en tareas de detección de vulnerabilidades, lo que la convierte en la métrica más directamente comparable con nuestro objeto de estudio.</w:t>
            </w:r>
          </w:p>
        </w:tc>
      </w:tr>
      <w:tr>
        <w:tc>
          <w:tcPr>
            <w:tcW w:type="dxa" w:w="4680"/>
          </w:tcPr>
          <w:p>
            <w:pPr>
              <w:spacing w:before="0" w:after="60" w:line="276" w:lineRule="auto"/>
            </w:pPr>
            <w:r>
              <w:rPr>
                <w:rFonts w:ascii="Calibri" w:hAnsi="Calibri"/>
                <w:b w:val="0"/>
                <w:i w:val="0"/>
                <w:sz w:val="19"/>
              </w:rPr>
              <w:t>Tasa de falsos positivos (FPR)</w:t>
            </w:r>
          </w:p>
        </w:tc>
        <w:tc>
          <w:tcPr>
            <w:tcW w:type="dxa" w:w="4680"/>
          </w:tcPr>
          <w:p>
            <w:pPr>
              <w:spacing w:before="0" w:after="60" w:line="276" w:lineRule="auto"/>
            </w:pPr>
            <w:r>
              <w:rPr>
                <w:rFonts w:ascii="Calibri" w:hAnsi="Calibri"/>
                <w:b w:val="0"/>
                <w:i w:val="0"/>
                <w:sz w:val="19"/>
              </w:rPr>
              <w:t>El detector de contratos inteligentes de Lee Song Haw Colin et al. usa el FPR (0.0125 en su mejor configuración) como criterio para declarar la superioridad de un modelo; Aladics, Hegedűs y Ferenc (2024) construyen toda su comparación entre CC2Vec, DeepJIT y Code Change Tree alrededor de esta misma tasa.</w:t>
            </w:r>
          </w:p>
        </w:tc>
      </w:tr>
      <w:tr>
        <w:tc>
          <w:tcPr>
            <w:tcW w:type="dxa" w:w="4680"/>
          </w:tcPr>
          <w:p>
            <w:pPr>
              <w:spacing w:before="0" w:after="60" w:line="276" w:lineRule="auto"/>
            </w:pPr>
            <w:r>
              <w:rPr>
                <w:rFonts w:ascii="Calibri" w:hAnsi="Calibri"/>
                <w:b w:val="0"/>
                <w:i w:val="0"/>
                <w:sz w:val="19"/>
              </w:rPr>
              <w:t>Reducción porcentual de código vulnerable</w:t>
            </w:r>
          </w:p>
        </w:tc>
        <w:tc>
          <w:tcPr>
            <w:tcW w:type="dxa" w:w="4680"/>
          </w:tcPr>
          <w:p>
            <w:pPr>
              <w:spacing w:before="0" w:after="60" w:line="276" w:lineRule="auto"/>
            </w:pPr>
            <w:r>
              <w:rPr>
                <w:rFonts w:ascii="Calibri" w:hAnsi="Calibri"/>
                <w:b w:val="0"/>
                <w:i w:val="0"/>
                <w:sz w:val="19"/>
              </w:rPr>
              <w:t>CodeEnhancer mide el porcentaje de fragmentos con al menos una vulnerabilidad antes y después de la intervención: 43.6% en el modelo base frente a 18.4% en el modelo ajustado con el marco propuesto (Lee et al., 2026). Esta métrica encaja de forma natural en nuestro diseño porque compara un estado anterior y uno posterior a una intervención, igual que nuestro experimento compara el código antes y después de refactorizar.</w:t>
            </w:r>
          </w:p>
        </w:tc>
      </w:tr>
      <w:tr>
        <w:tc>
          <w:tcPr>
            <w:tcW w:type="dxa" w:w="4680"/>
          </w:tcPr>
          <w:p>
            <w:pPr>
              <w:spacing w:before="0" w:after="60" w:line="276" w:lineRule="auto"/>
            </w:pPr>
            <w:r>
              <w:rPr>
                <w:rFonts w:ascii="Calibri" w:hAnsi="Calibri"/>
                <w:b w:val="0"/>
                <w:i w:val="0"/>
                <w:sz w:val="19"/>
              </w:rPr>
              <w:t>Tasa de éxito de reparación estática</w:t>
            </w:r>
          </w:p>
        </w:tc>
        <w:tc>
          <w:tcPr>
            <w:tcW w:type="dxa" w:w="4680"/>
          </w:tcPr>
          <w:p>
            <w:pPr>
              <w:spacing w:before="0" w:after="60" w:line="276" w:lineRule="auto"/>
            </w:pPr>
            <w:r>
              <w:rPr>
                <w:rFonts w:ascii="Calibri" w:hAnsi="Calibri"/>
                <w:b w:val="0"/>
                <w:i w:val="0"/>
                <w:sz w:val="19"/>
              </w:rPr>
              <w:t>Patcas y Motogna (2026) introducen esta métrica para evaluar si seis LLMs distintos logran resolver, sin romper la sintaxis, los problemas que SonarQube reporta sobre un fragmento de código. Es la métrica más cercana a lo que necesitamos para calificar la calidad de una reparación asistida por IA, no solo su existencia.</w:t>
            </w:r>
          </w:p>
        </w:tc>
      </w:tr>
    </w:tbl>
    <w:p/>
    <w:p>
      <w:pPr>
        <w:pStyle w:val="Heading2"/>
        <w:spacing w:before="240" w:after="120" w:line="276" w:lineRule="auto"/>
      </w:pPr>
      <w:r>
        <w:rPr>
          <w:rFonts w:ascii="Calibri" w:hAnsi="Calibri"/>
        </w:rPr>
        <w:t>1.4 Hipótesis</w:t>
      </w:r>
    </w:p>
    <w:p>
      <w:pPr>
        <w:spacing w:before="0" w:after="160" w:line="276" w:lineRule="auto"/>
        <w:jc w:val="both"/>
      </w:pPr>
      <w:r>
        <w:rPr>
          <w:rFonts w:ascii="Calibri" w:hAnsi="Calibri"/>
          <w:b w:val="0"/>
          <w:i w:val="0"/>
          <w:sz w:val="22"/>
        </w:rPr>
        <w:t xml:space="preserve">H0: </w:t>
      </w:r>
      <w:r>
        <w:rPr>
          <w:rFonts w:ascii="Calibri" w:hAnsi="Calibri"/>
          <w:b w:val="0"/>
          <w:i w:val="0"/>
          <w:sz w:val="22"/>
        </w:rPr>
        <w:t>no existe una diferencia estadísticamente significativa en la cantidad de vulnerabilidades de seguridad introducidas o mantenidas entre el código refactorizado manualmente y el código refactorizado con asistencia de sistemas de IA orientados a seguridad.</w:t>
      </w:r>
    </w:p>
    <w:p>
      <w:pPr>
        <w:spacing w:before="0" w:after="160" w:line="276" w:lineRule="auto"/>
        <w:jc w:val="both"/>
      </w:pPr>
      <w:r>
        <w:rPr>
          <w:rFonts w:ascii="Calibri" w:hAnsi="Calibri"/>
          <w:b w:val="0"/>
          <w:i w:val="0"/>
          <w:sz w:val="22"/>
        </w:rPr>
        <w:t xml:space="preserve">H1: </w:t>
      </w:r>
      <w:r>
        <w:rPr>
          <w:rFonts w:ascii="Calibri" w:hAnsi="Calibri"/>
          <w:b w:val="0"/>
          <w:i w:val="0"/>
          <w:sz w:val="22"/>
        </w:rPr>
        <w:t>sí existe una diferencia estadísticamente significativa entre ambas condiciones.</w:t>
      </w:r>
    </w:p>
    <w:p>
      <w:pPr>
        <w:spacing w:before="0" w:after="160" w:line="276" w:lineRule="auto"/>
        <w:jc w:val="both"/>
      </w:pPr>
      <w:r>
        <w:rPr>
          <w:rFonts w:ascii="Calibri" w:hAnsi="Calibri"/>
          <w:b w:val="0"/>
          <w:i w:val="0"/>
          <w:sz w:val="22"/>
        </w:rPr>
        <w:t>Formulamos ambas hipótesis siguiendo el mismo formato que Diouf, Toe, Grichi, Nakouri y Jaafar (2026) usan para probar si los valores de sus métricas de calidad difieren entre archivos con errores de seguridad y archivos sin ellos, incluido el nivel de significancia de α = 0.05 que adoptamos también aquí.</w:t>
      </w:r>
    </w:p>
    <w:p>
      <w:pPr>
        <w:pStyle w:val="Heading2"/>
        <w:spacing w:before="240" w:after="120" w:line="276" w:lineRule="auto"/>
      </w:pPr>
      <w:r>
        <w:rPr>
          <w:rFonts w:ascii="Calibri" w:hAnsi="Calibri"/>
        </w:rPr>
        <w:t>1.5 Variables independientes y dependientes</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pPr>
              <w:spacing w:before="0" w:after="60" w:line="276" w:lineRule="auto"/>
            </w:pPr>
            <w:r>
              <w:rPr>
                <w:rFonts w:ascii="Calibri" w:hAnsi="Calibri"/>
                <w:b/>
                <w:i w:val="0"/>
                <w:sz w:val="19"/>
              </w:rPr>
              <w:t>Tipo</w:t>
            </w:r>
          </w:p>
        </w:tc>
        <w:tc>
          <w:tcPr>
            <w:tcW w:type="dxa" w:w="3120"/>
            <w:shd w:fill="D9E2F3"/>
          </w:tcPr>
          <w:p>
            <w:pPr>
              <w:spacing w:before="0" w:after="60" w:line="276" w:lineRule="auto"/>
            </w:pPr>
            <w:r>
              <w:rPr>
                <w:rFonts w:ascii="Calibri" w:hAnsi="Calibri"/>
                <w:b/>
                <w:i w:val="0"/>
                <w:sz w:val="19"/>
              </w:rPr>
              <w:t>Variable</w:t>
            </w:r>
          </w:p>
        </w:tc>
        <w:tc>
          <w:tcPr>
            <w:tcW w:type="dxa" w:w="3120"/>
            <w:shd w:fill="D9E2F3"/>
          </w:tcPr>
          <w:p>
            <w:pPr>
              <w:spacing w:before="0" w:after="60" w:line="276" w:lineRule="auto"/>
            </w:pPr>
            <w:r>
              <w:rPr>
                <w:rFonts w:ascii="Calibri" w:hAnsi="Calibri"/>
                <w:b/>
                <w:i w:val="0"/>
                <w:sz w:val="19"/>
              </w:rPr>
              <w:t>Justificación</w:t>
            </w:r>
          </w:p>
        </w:tc>
      </w:tr>
      <w:tr>
        <w:tc>
          <w:tcPr>
            <w:tcW w:type="dxa" w:w="3120"/>
          </w:tcPr>
          <w:p>
            <w:pPr>
              <w:spacing w:before="0" w:after="60" w:line="276" w:lineRule="auto"/>
            </w:pPr>
            <w:r>
              <w:rPr>
                <w:rFonts w:ascii="Calibri" w:hAnsi="Calibri"/>
                <w:b w:val="0"/>
                <w:i w:val="0"/>
                <w:sz w:val="19"/>
              </w:rPr>
              <w:t>Independiente</w:t>
            </w:r>
          </w:p>
        </w:tc>
        <w:tc>
          <w:tcPr>
            <w:tcW w:type="dxa" w:w="3120"/>
          </w:tcPr>
          <w:p>
            <w:pPr>
              <w:spacing w:before="0" w:after="60" w:line="276" w:lineRule="auto"/>
            </w:pPr>
            <w:r>
              <w:rPr>
                <w:rFonts w:ascii="Calibri" w:hAnsi="Calibri"/>
                <w:b w:val="0"/>
                <w:i w:val="0"/>
                <w:sz w:val="19"/>
              </w:rPr>
              <w:t>Modalidad de refactorización (manual / asistida por IA con SAST)</w:t>
            </w:r>
          </w:p>
        </w:tc>
        <w:tc>
          <w:tcPr>
            <w:tcW w:type="dxa" w:w="3120"/>
          </w:tcPr>
          <w:p>
            <w:pPr>
              <w:spacing w:before="0" w:after="60" w:line="276" w:lineRule="auto"/>
            </w:pPr>
            <w:r>
              <w:rPr>
                <w:rFonts w:ascii="Calibri" w:hAnsi="Calibri"/>
                <w:b w:val="0"/>
                <w:i w:val="0"/>
                <w:sz w:val="19"/>
              </w:rPr>
              <w:t>Es la intervención cuyo efecto queremos aislar. Su tratamiento como variable de dos niveles replica el diseño A/B de Nembhard, Carvalho y Eskridge (2019), donde catorce participantes usaron dos herramientas distintas sobre las mismas tareas para poder atribuir cualquier diferencia al tipo de herramienta y no al participante.</w:t>
            </w:r>
          </w:p>
        </w:tc>
      </w:tr>
      <w:tr>
        <w:tc>
          <w:tcPr>
            <w:tcW w:type="dxa" w:w="3120"/>
          </w:tcPr>
          <w:p>
            <w:pPr>
              <w:spacing w:before="0" w:after="60" w:line="276" w:lineRule="auto"/>
            </w:pPr>
            <w:r>
              <w:rPr>
                <w:rFonts w:ascii="Calibri" w:hAnsi="Calibri"/>
                <w:b w:val="0"/>
                <w:i w:val="0"/>
                <w:sz w:val="19"/>
              </w:rPr>
              <w:t>Independiente (control)</w:t>
            </w:r>
          </w:p>
        </w:tc>
        <w:tc>
          <w:tcPr>
            <w:tcW w:type="dxa" w:w="3120"/>
          </w:tcPr>
          <w:p>
            <w:pPr>
              <w:spacing w:before="0" w:after="60" w:line="276" w:lineRule="auto"/>
            </w:pPr>
            <w:r>
              <w:rPr>
                <w:rFonts w:ascii="Calibri" w:hAnsi="Calibri"/>
                <w:b w:val="0"/>
                <w:i w:val="0"/>
                <w:sz w:val="19"/>
              </w:rPr>
              <w:t>Modelo LLM usado para generar el código base; categoría CWE del fragmento</w:t>
            </w:r>
          </w:p>
        </w:tc>
        <w:tc>
          <w:tcPr>
            <w:tcW w:type="dxa" w:w="3120"/>
          </w:tcPr>
          <w:p>
            <w:pPr>
              <w:spacing w:before="0" w:after="60" w:line="276" w:lineRule="auto"/>
            </w:pPr>
            <w:r>
              <w:rPr>
                <w:rFonts w:ascii="Calibri" w:hAnsi="Calibri"/>
                <w:b w:val="0"/>
                <w:i w:val="0"/>
                <w:sz w:val="19"/>
              </w:rPr>
              <w:t>Bae, Kwon y Myeong (2024) muestran que el rendimiento en detección de vulnerabilidades cambia de forma marcada según el LLM generador. Si no fijamos o registramos esta variable, cualquier diferencia entre grupos podría deberse al generador y no a la refactorización.</w:t>
            </w:r>
          </w:p>
        </w:tc>
      </w:tr>
      <w:tr>
        <w:tc>
          <w:tcPr>
            <w:tcW w:type="dxa" w:w="3120"/>
          </w:tcPr>
          <w:p>
            <w:pPr>
              <w:spacing w:before="0" w:after="60" w:line="276" w:lineRule="auto"/>
            </w:pPr>
            <w:r>
              <w:rPr>
                <w:rFonts w:ascii="Calibri" w:hAnsi="Calibri"/>
                <w:b w:val="0"/>
                <w:i w:val="0"/>
                <w:sz w:val="19"/>
              </w:rPr>
              <w:t>Dependiente</w:t>
            </w:r>
          </w:p>
        </w:tc>
        <w:tc>
          <w:tcPr>
            <w:tcW w:type="dxa" w:w="3120"/>
          </w:tcPr>
          <w:p>
            <w:pPr>
              <w:spacing w:before="0" w:after="60" w:line="276" w:lineRule="auto"/>
            </w:pPr>
            <w:r>
              <w:rPr>
                <w:rFonts w:ascii="Calibri" w:hAnsi="Calibri"/>
                <w:b w:val="0"/>
                <w:i w:val="0"/>
                <w:sz w:val="19"/>
              </w:rPr>
              <w:t>Número de vulnerabilidades por categoría CWE antes y después de refactorizar</w:t>
            </w:r>
          </w:p>
        </w:tc>
        <w:tc>
          <w:tcPr>
            <w:tcW w:type="dxa" w:w="3120"/>
          </w:tcPr>
          <w:p>
            <w:pPr>
              <w:spacing w:before="0" w:after="60" w:line="276" w:lineRule="auto"/>
            </w:pPr>
            <w:r>
              <w:rPr>
                <w:rFonts w:ascii="Calibri" w:hAnsi="Calibri"/>
                <w:b w:val="0"/>
                <w:i w:val="0"/>
                <w:sz w:val="19"/>
              </w:rPr>
              <w:t>Es la variable de resultado directa de nuestra hipótesis. CodeEnhancer usa exactamente este conteo, desglosado por CWE Top 25, como resultado principal (Lee et al., 2026).</w:t>
            </w:r>
          </w:p>
        </w:tc>
      </w:tr>
      <w:tr>
        <w:tc>
          <w:tcPr>
            <w:tcW w:type="dxa" w:w="3120"/>
          </w:tcPr>
          <w:p>
            <w:pPr>
              <w:spacing w:before="0" w:after="60" w:line="276" w:lineRule="auto"/>
            </w:pPr>
            <w:r>
              <w:rPr>
                <w:rFonts w:ascii="Calibri" w:hAnsi="Calibri"/>
                <w:b w:val="0"/>
                <w:i w:val="0"/>
                <w:sz w:val="19"/>
              </w:rPr>
              <w:t>Dependiente</w:t>
            </w:r>
          </w:p>
        </w:tc>
        <w:tc>
          <w:tcPr>
            <w:tcW w:type="dxa" w:w="3120"/>
          </w:tcPr>
          <w:p>
            <w:pPr>
              <w:spacing w:before="0" w:after="60" w:line="276" w:lineRule="auto"/>
            </w:pPr>
            <w:r>
              <w:rPr>
                <w:rFonts w:ascii="Calibri" w:hAnsi="Calibri"/>
                <w:b w:val="0"/>
                <w:i w:val="0"/>
                <w:sz w:val="19"/>
              </w:rPr>
              <w:t>Precisión, recall, F1-score, FPR de la detección posterior</w:t>
            </w:r>
          </w:p>
        </w:tc>
        <w:tc>
          <w:tcPr>
            <w:tcW w:type="dxa" w:w="3120"/>
          </w:tcPr>
          <w:p>
            <w:pPr>
              <w:spacing w:before="0" w:after="60" w:line="276" w:lineRule="auto"/>
            </w:pPr>
            <w:r>
              <w:rPr>
                <w:rFonts w:ascii="Calibri" w:hAnsi="Calibri"/>
                <w:b w:val="0"/>
                <w:i w:val="0"/>
                <w:sz w:val="19"/>
              </w:rPr>
              <w:t>Conjunto de métricas validado de forma consistente por Vudenc, Bagheri y Hegedűs (2024), y Aladics, Hegedűs y Ferenc (2024), lo que permite comparar nuestros resultados con los suyos.</w:t>
            </w:r>
          </w:p>
        </w:tc>
      </w:tr>
    </w:tbl>
    <w:p/>
    <w:p>
      <w:pPr>
        <w:pStyle w:val="Heading1"/>
        <w:spacing w:before="360" w:after="160" w:line="276" w:lineRule="auto"/>
      </w:pPr>
      <w:r>
        <w:rPr>
          <w:rFonts w:ascii="Calibri" w:hAnsi="Calibri"/>
        </w:rPr>
        <w:t>Fase 2: Planificación (Planning)</w:t>
      </w:r>
    </w:p>
    <w:p>
      <w:pPr>
        <w:pStyle w:val="Heading2"/>
        <w:spacing w:before="240" w:after="120" w:line="276" w:lineRule="auto"/>
      </w:pPr>
      <w:r>
        <w:rPr>
          <w:rFonts w:ascii="Calibri" w:hAnsi="Calibri"/>
        </w:rPr>
        <w:t>2.1 Selección de sujetos y contexto</w:t>
      </w:r>
    </w:p>
    <w:p>
      <w:pPr>
        <w:spacing w:before="0" w:after="160" w:line="276" w:lineRule="auto"/>
        <w:jc w:val="both"/>
      </w:pPr>
      <w:r>
        <w:rPr>
          <w:rFonts w:ascii="Calibri" w:hAnsi="Calibri"/>
          <w:b w:val="0"/>
          <w:i w:val="0"/>
          <w:sz w:val="22"/>
        </w:rPr>
        <w:t>Proponemos una muestra mixta de entre 20 y 30 participantes: estudiantes avanzados de ingeniería de software con al menos un curso previo de Python, complementados en la medida de lo posible con desarrolladores profesionales. Este diseño replica el de Nembhard, Carvalho y Eskridge (2019), quienes reclutaron 104 participantes para su encuesta de elicitación de conocimiento (44 estudiantes de posgrado, 39 profesionales de la industria, 11 estudiantes de pregrado y 7 profesores, todos con al menos tres años de experiencia en un lenguaje orientado a objetos) y luego, para su estudio de usabilidad tipo A/B, un grupo más pequeño de 14 personas con una composición igualmente mixta (un profesor, un profesional, cuatro investigadores y ocho estudiantes en distintos niveles). Ese precedente respalda dos decisiones: que una muestra dominada por estudiantes es aceptable en este tipo de estudio siempre que la experiencia se mida y se reporte, y que un tamaño de muestra de una a tres decenas de personas ya ha producido resultados publicables en la literatura de este dominio. Registraremos la experiencia declarada mediante una escala Likert, siguiendo el mismo instrumento que usaron Nembhard et al. para su encuesta.</w:t>
      </w:r>
    </w:p>
    <w:p>
      <w:pPr>
        <w:pStyle w:val="Heading2"/>
        <w:spacing w:before="240" w:after="120" w:line="276" w:lineRule="auto"/>
      </w:pPr>
      <w:r>
        <w:rPr>
          <w:rFonts w:ascii="Calibri" w:hAnsi="Calibri"/>
        </w:rPr>
        <w:t>2.2 Diseño del experimento</w:t>
      </w:r>
    </w:p>
    <w:p>
      <w:pPr>
        <w:spacing w:before="0" w:after="160" w:line="276" w:lineRule="auto"/>
        <w:jc w:val="both"/>
      </w:pPr>
      <w:r>
        <w:rPr>
          <w:rFonts w:ascii="Calibri" w:hAnsi="Calibri"/>
          <w:b w:val="0"/>
          <w:i w:val="0"/>
          <w:sz w:val="22"/>
        </w:rPr>
        <w:t>El experimento usa un diseño de dos grupos independientes:</w:t>
      </w:r>
    </w:p>
    <w:p>
      <w:pPr>
        <w:pStyle w:val="ListBullet"/>
        <w:spacing w:before="0" w:after="100" w:line="276" w:lineRule="auto"/>
        <w:jc w:val="both"/>
      </w:pPr>
      <w:r>
        <w:rPr>
          <w:rFonts w:ascii="Calibri" w:hAnsi="Calibri"/>
          <w:b w:val="0"/>
          <w:i w:val="0"/>
          <w:sz w:val="22"/>
        </w:rPr>
        <w:t>Grupo de control (refactorización manual): los participantes refactorizan el código usando únicamente su editor o IDE y la documentación estándar del lenguaje, sin ninguna herramienta automática de seguridad.</w:t>
      </w:r>
    </w:p>
    <w:p>
      <w:pPr>
        <w:pStyle w:val="ListBullet"/>
        <w:spacing w:before="0" w:after="100" w:line="276" w:lineRule="auto"/>
        <w:jc w:val="both"/>
      </w:pPr>
      <w:r>
        <w:rPr>
          <w:rFonts w:ascii="Calibri" w:hAnsi="Calibri"/>
          <w:b w:val="0"/>
          <w:i w:val="0"/>
          <w:sz w:val="22"/>
        </w:rPr>
        <w:t>Grupo experimental (refactorización asistida por IA): los participantes refactorizan el mismo conjunto de muestras usando un sistema que integra un LLM con herramientas SAST, siguiendo el bucle iterativo de validación que describe CodeEnhancer.</w:t>
      </w:r>
    </w:p>
    <w:p>
      <w:pPr>
        <w:spacing w:before="0" w:after="160" w:line="276" w:lineRule="auto"/>
        <w:jc w:val="both"/>
      </w:pPr>
      <w:r>
        <w:rPr>
          <w:rFonts w:ascii="Calibri" w:hAnsi="Calibri"/>
          <w:b w:val="0"/>
          <w:i w:val="0"/>
          <w:sz w:val="22"/>
        </w:rPr>
        <w:t>El formato de comparación de dos herramientas sobre las mismas tareas, con asignación aleatoria de participantes a cada condición, es el mismo que usaron Nembhard et al. (2019) en su prueba A/B entre su recomendador basado en IntelliSense y FindBugs. Cada muestra de código base se asignará aleatoriamente a un grupo para evitar que la dificultad de una muestra en particular sesgue los resultados de una sola condición.</w:t>
      </w:r>
    </w:p>
    <w:p>
      <w:pPr>
        <w:pStyle w:val="Heading2"/>
        <w:spacing w:before="240" w:after="120" w:line="276" w:lineRule="auto"/>
      </w:pPr>
      <w:r>
        <w:rPr>
          <w:rFonts w:ascii="Calibri" w:hAnsi="Calibri"/>
        </w:rPr>
        <w:t>2.3 Instrumentación</w:t>
      </w:r>
    </w:p>
    <w:p>
      <w:pPr>
        <w:spacing w:before="0" w:after="160" w:line="276" w:lineRule="auto"/>
        <w:jc w:val="both"/>
      </w:pPr>
      <w:r>
        <w:rPr>
          <w:rFonts w:ascii="Calibri" w:hAnsi="Calibri"/>
          <w:b w:val="0"/>
          <w:i w:val="0"/>
          <w:sz w:val="22"/>
        </w:rPr>
        <w:t>Para generar el código base usaremos GPT-4o y Claude-3.5 Sonnet como modelos generadores, con la técnica de prompting Step-by-Step. Bae, Kwon y Myeong (2024) demostraron que ambos modelos superan de forma significativa a GPT-3.5 Turbo en tareas relacionadas con vulnerabilidades y que, de las tres técnicas de prompting que probaron (Concise, Tip Setting y Step-by-Step), esta última obtuvo los mejores resultados para ambos modelos. Esto nos da una línea base realista: código funcional y de calidad razonable, pero no libre de fallos, que es justamente la condición de partida que necesitamos para medir si la refactorización mejora o empeora esa situación.</w:t>
      </w:r>
    </w:p>
    <w:p>
      <w:pPr>
        <w:spacing w:before="0" w:after="160" w:line="276" w:lineRule="auto"/>
        <w:jc w:val="both"/>
      </w:pPr>
      <w:r>
        <w:rPr>
          <w:rFonts w:ascii="Calibri" w:hAnsi="Calibri"/>
          <w:b w:val="0"/>
          <w:i w:val="0"/>
          <w:sz w:val="22"/>
        </w:rPr>
        <w:t>Como herramientas SAST usaremos Bandit y Pylint, siguiendo la arquitectura de dos etapas de CodeEnhancer, y las complementaremos con SonarQube y PMD, apoyándonos en el análisis de Deshapriya, Licorish y Woodford sobre qué reglas de ambas herramientas realmente se alinean con estándares de codificación establecidos. El sistema de refactorización asistida por IA del grupo experimental se construirá siguiendo el marco de dos etapas de CodeEnhancer: un ciclo iterativo donde el LLM recibe retroalimentación estructurada de Bandit y Pylint hasta que el código converge o se alcanza un número fijo de iteraciones. Elegimos este marco como referencia porque, entre los sistemas revisados, es el que reporta el efecto más directamente comparable con nuestra hipótesis: solo la primera etapa (el ciclo LLM más SAST, sin ajuste fino adicional) eliminó el 82.8% de las vulnerabilidades iniciales sobre el dataset LLMSecEval (Lee et al., 2026).</w:t>
      </w:r>
    </w:p>
    <w:p>
      <w:pPr>
        <w:spacing w:before="0" w:after="160" w:line="276" w:lineRule="auto"/>
        <w:jc w:val="both"/>
      </w:pPr>
      <w:r>
        <w:rPr>
          <w:rFonts w:ascii="Calibri" w:hAnsi="Calibri"/>
          <w:b w:val="0"/>
          <w:i w:val="0"/>
          <w:sz w:val="22"/>
        </w:rPr>
        <w:t>Para detectar fallos lógicos o estructurales que las herramientas puramente sintácticas suelen pasar por alto, incorporaremos una capa adicional de verificación basada en representaciones de grafo (árbol de sintaxis abstracta y grafo de flujo de control). Esta decisión se apoya en que, dentro del corpus revisado, los métodos basados en redes neuronales de grafos, como Devign (Zhou et al., 2019), aparecen citados de forma reiterada como el enfoque de referencia para capturar semántica estructural que el análisis puramente sintáctico no alcanza; el propio detector de vulnerabilidades en contratos inteligentes de Lee Song Haw Colin et al. usa árboles de sintaxis abstracta, opcodes y grafos de flujo de control como características de entrada de su modelo, lo que confirma que esta representación es viable fuera del dominio de blockchain en el que se propuso originalmente.</w:t>
      </w:r>
    </w:p>
    <w:p>
      <w:pPr>
        <w:spacing w:before="0" w:after="160" w:line="276" w:lineRule="auto"/>
        <w:jc w:val="both"/>
      </w:pPr>
      <w:r>
        <w:rPr>
          <w:rFonts w:ascii="Calibri" w:hAnsi="Calibri"/>
          <w:b w:val="0"/>
          <w:i w:val="0"/>
          <w:sz w:val="22"/>
        </w:rPr>
        <w:t>Para clasificar las vulnerabilidades usaremos el CWE Top 25 como taxonomía principal, siguiendo a CodeEnhancer, y la cruzaremos con el OWASP Top Ten siguiendo el mapeo explícito que proponen Alromaizan, Alzahrani, Khan, Alhumaid, Siam, Umair Khan, Hossain Faruk y Shahriar (2026) entre su marco de prácticas de codificación segura y ambas listas.</w:t>
      </w:r>
    </w:p>
    <w:p>
      <w:pPr>
        <w:pStyle w:val="Heading2"/>
        <w:spacing w:before="240" w:after="120" w:line="276" w:lineRule="auto"/>
      </w:pPr>
      <w:r>
        <w:rPr>
          <w:rFonts w:ascii="Calibri" w:hAnsi="Calibri"/>
        </w:rPr>
        <w:t>2.4 Amenazas a la validez</w:t>
      </w:r>
    </w:p>
    <w:p>
      <w:pPr>
        <w:spacing w:before="0" w:after="160" w:line="276" w:lineRule="auto"/>
        <w:jc w:val="both"/>
      </w:pPr>
      <w:r>
        <w:rPr>
          <w:rFonts w:ascii="Calibri" w:hAnsi="Calibri"/>
          <w:b w:val="0"/>
          <w:i w:val="0"/>
          <w:sz w:val="22"/>
        </w:rPr>
        <w:t>Organizamos las amenazas siguiendo la misma estructura de cuatro categorías que usan Halepmollasi y Tosun (2025) y Lomio, Iannone, De Lucia, Palomba y Lenarduzzi (2022), ambos con secciones dedicadas de amenazas a la validez interna, externa, de constructo y de conclusión.</w:t>
      </w:r>
    </w:p>
    <w:p>
      <w:pPr>
        <w:spacing w:before="0" w:after="160" w:line="276" w:lineRule="auto"/>
        <w:jc w:val="both"/>
      </w:pPr>
      <w:r>
        <w:rPr>
          <w:rFonts w:ascii="Calibri" w:hAnsi="Calibri"/>
          <w:b w:val="0"/>
          <w:i w:val="0"/>
          <w:sz w:val="22"/>
        </w:rPr>
        <w:t>Amenaza a la validez interna: los grupos podrían diferir en nivel de habilidad antes de empezar. La mitigamos con asignación aleatoria y con el balanceo de grupos según la experiencia autodeclarada, siguiendo el mismo instrumento de escala Likert que usaron Nembhard et al. (2019) para caracterizar a sus participantes.</w:t>
      </w:r>
    </w:p>
    <w:p>
      <w:pPr>
        <w:spacing w:before="0" w:after="160" w:line="276" w:lineRule="auto"/>
        <w:jc w:val="both"/>
      </w:pPr>
      <w:r>
        <w:rPr>
          <w:rFonts w:ascii="Calibri" w:hAnsi="Calibri"/>
          <w:b w:val="0"/>
          <w:i w:val="0"/>
          <w:sz w:val="22"/>
        </w:rPr>
        <w:t>Amenaza a la validez externa: los resultados se limitan a Python y a un subconjunto de categorías CWE, con lo cual no podemos afirmar que se generalicen a otros lenguajes o a proyectos industriales de mayor escala. Reconocemos esta limitación de forma explícita, tal como hicieron Lomio et al. (2022) al circunscribir su estudio a nueve sistemas escritos en Java, y dejamos la réplica en otros lenguajes como línea de trabajo futuro.</w:t>
      </w:r>
    </w:p>
    <w:p>
      <w:pPr>
        <w:spacing w:before="0" w:after="160" w:line="276" w:lineRule="auto"/>
        <w:jc w:val="both"/>
      </w:pPr>
      <w:r>
        <w:rPr>
          <w:rFonts w:ascii="Calibri" w:hAnsi="Calibri"/>
          <w:b w:val="0"/>
          <w:i w:val="0"/>
          <w:sz w:val="22"/>
        </w:rPr>
        <w:t>Amenaza a la validez de constructo: las propias herramientas SAST que usamos como referencia tienen su propia tasa de error. Vudenc discute abiertamente sus limitaciones de falsos positivos y falsos negativos (Wartschinski et al.), y Halepmollasi y Tosun (2025) reportan que RMiner, la herramienta que usan para verificar que una acción de refactorización realmente ocurrió, alcanza una precisión de aproximadamente 98% y un recall de 87%, cifras que no son perfectas. Para mitigar esta amenaza, exigiremos que una vulnerabilidad se cuente como tal solo cuando dos detectores independientes coincidan, o cuando un detector coincida con la revisión de un evaluador humano, en la línea de la evaluación de riesgo consciente del contexto que proponen Tang, Zhang, Zhu y Ye en CAPRA para distinguir una vulnerabilidad inmadura de una confirmada.</w:t>
      </w:r>
    </w:p>
    <w:p>
      <w:pPr>
        <w:spacing w:before="0" w:after="160" w:line="276" w:lineRule="auto"/>
        <w:jc w:val="both"/>
      </w:pPr>
      <w:r>
        <w:rPr>
          <w:rFonts w:ascii="Calibri" w:hAnsi="Calibri"/>
          <w:b w:val="0"/>
          <w:i w:val="0"/>
          <w:sz w:val="22"/>
        </w:rPr>
        <w:t>Amenaza a la validez de conclusión: con un tamaño de muestra moderado, una prueba paramétrica podría no ser apropiada si los datos no siguen una distribución normal. Por eso adoptamos pruebas no paramétricas, como se detalla en la Fase 4, siguiendo la misma justificación metodológica que ofrecen Diouf et al. (2026) para el uso de la prueba de Mann-Whitney U.</w:t>
      </w:r>
    </w:p>
    <w:p>
      <w:pPr>
        <w:pStyle w:val="Heading1"/>
        <w:spacing w:before="360" w:after="160" w:line="276" w:lineRule="auto"/>
      </w:pPr>
      <w:r>
        <w:rPr>
          <w:rFonts w:ascii="Calibri" w:hAnsi="Calibri"/>
        </w:rPr>
        <w:t>Fase 3: Ejecución (Operation)</w:t>
      </w:r>
    </w:p>
    <w:p>
      <w:pPr>
        <w:pStyle w:val="Heading2"/>
        <w:spacing w:before="240" w:after="120" w:line="276" w:lineRule="auto"/>
      </w:pPr>
      <w:r>
        <w:rPr>
          <w:rFonts w:ascii="Calibri" w:hAnsi="Calibri"/>
        </w:rPr>
        <w:t>3.1 Preparación y protocolo de ejecución</w:t>
      </w:r>
    </w:p>
    <w:p>
      <w:pPr>
        <w:spacing w:before="0" w:after="160" w:line="276" w:lineRule="auto"/>
        <w:jc w:val="both"/>
      </w:pPr>
      <w:r>
        <w:rPr>
          <w:rFonts w:ascii="Calibri" w:hAnsi="Calibri"/>
          <w:b w:val="0"/>
          <w:i w:val="0"/>
          <w:sz w:val="22"/>
        </w:rPr>
        <w:t>El protocolo sigue seis pasos:</w:t>
      </w:r>
    </w:p>
    <w:p>
      <w:pPr>
        <w:pStyle w:val="ListBullet"/>
        <w:spacing w:before="0" w:after="100" w:line="276" w:lineRule="auto"/>
        <w:jc w:val="both"/>
      </w:pPr>
      <w:r>
        <w:rPr>
          <w:rFonts w:ascii="Calibri" w:hAnsi="Calibri"/>
          <w:b w:val="0"/>
          <w:i w:val="0"/>
          <w:sz w:val="22"/>
        </w:rPr>
        <w:t>1. Generar las muestras de código base con GPT-4o y Claude-3.5 Sonnet usando prompting Step-by-Step, cubriendo una variedad representativa de categorías del CWE Top 25.</w:t>
      </w:r>
    </w:p>
    <w:p>
      <w:pPr>
        <w:pStyle w:val="ListBullet"/>
        <w:spacing w:before="0" w:after="100" w:line="276" w:lineRule="auto"/>
        <w:jc w:val="both"/>
      </w:pPr>
      <w:r>
        <w:rPr>
          <w:rFonts w:ascii="Calibri" w:hAnsi="Calibri"/>
          <w:b w:val="0"/>
          <w:i w:val="0"/>
          <w:sz w:val="22"/>
        </w:rPr>
        <w:t>2. Ejecutar un escaneo SAST inicial (Bandit, Pylint, SonarQube) sobre cada muestra para registrar su perfil de vulnerabilidad de partida, tal como documenta CodeEnhancer como paso previo a cualquier intervención.</w:t>
      </w:r>
    </w:p>
    <w:p>
      <w:pPr>
        <w:pStyle w:val="ListBullet"/>
        <w:spacing w:before="0" w:after="100" w:line="276" w:lineRule="auto"/>
        <w:jc w:val="both"/>
      </w:pPr>
      <w:r>
        <w:rPr>
          <w:rFonts w:ascii="Calibri" w:hAnsi="Calibri"/>
          <w:b w:val="0"/>
          <w:i w:val="0"/>
          <w:sz w:val="22"/>
        </w:rPr>
        <w:t>3. Asignar aleatoriamente muestras y participantes a la condición manual o a la condición asistida por IA, balanceando por experiencia declarada.</w:t>
      </w:r>
    </w:p>
    <w:p>
      <w:pPr>
        <w:pStyle w:val="ListBullet"/>
        <w:spacing w:before="0" w:after="100" w:line="276" w:lineRule="auto"/>
        <w:jc w:val="both"/>
      </w:pPr>
      <w:r>
        <w:rPr>
          <w:rFonts w:ascii="Calibri" w:hAnsi="Calibri"/>
          <w:b w:val="0"/>
          <w:i w:val="0"/>
          <w:sz w:val="22"/>
        </w:rPr>
        <w:t>4. El grupo manual refactoriza usando solo su IDE y la documentación estándar, sin exposición a herramientas automáticas de seguridad, replicando la condición de línea base contra la que CodeEnhancer mide su propia mejora.</w:t>
      </w:r>
    </w:p>
    <w:p>
      <w:pPr>
        <w:pStyle w:val="ListBullet"/>
        <w:spacing w:before="0" w:after="100" w:line="276" w:lineRule="auto"/>
        <w:jc w:val="both"/>
      </w:pPr>
      <w:r>
        <w:rPr>
          <w:rFonts w:ascii="Calibri" w:hAnsi="Calibri"/>
          <w:b w:val="0"/>
          <w:i w:val="0"/>
          <w:sz w:val="22"/>
        </w:rPr>
        <w:t>5. El grupo asistido por IA refactoriza usando el ciclo iterativo SAST más LLM descrito en la Fase 2, con retroalimentación de Bandit y Pylint incorporada hasta la convergencia o hasta un número fijo de iteraciones.</w:t>
      </w:r>
    </w:p>
    <w:p>
      <w:pPr>
        <w:pStyle w:val="ListBullet"/>
        <w:spacing w:before="0" w:after="100" w:line="276" w:lineRule="auto"/>
        <w:jc w:val="both"/>
      </w:pPr>
      <w:r>
        <w:rPr>
          <w:rFonts w:ascii="Calibri" w:hAnsi="Calibri"/>
          <w:b w:val="0"/>
          <w:i w:val="0"/>
          <w:sz w:val="22"/>
        </w:rPr>
        <w:t>6. Se aplica un escaneo SAST posterior a la refactorización, más una verificación manual, sobre el resultado de ambos grupos antes de calificarlo.</w:t>
      </w:r>
    </w:p>
    <w:p>
      <w:pPr>
        <w:spacing w:before="0" w:after="160" w:line="276" w:lineRule="auto"/>
        <w:jc w:val="both"/>
      </w:pPr>
      <w:r>
        <w:rPr>
          <w:rFonts w:ascii="Calibri" w:hAnsi="Calibri"/>
          <w:b w:val="0"/>
          <w:i w:val="0"/>
          <w:sz w:val="22"/>
        </w:rPr>
        <w:t>La lógica de retroalimentación iterativa entre el LLM y las herramientas estáticas del paso 5 tiene un precedente adicional en el estudio de Liu, Le-Cong, Widyasari, Tantithamthavorn, Li, Le y Lo sobre la capacidad de autorreparación de ChatGPT: sobre 4,066 programas generados, encontraron que el modelo podía corregir parcialmente problemas de calidad cuando recibía retroalimentación de herramientas de análisis estático y de errores en tiempo de ejecución, lo que confirma que este tipo de bucle es un mecanismo ya observado y no una construcción artificial de nuestro diseño.</w:t>
      </w:r>
    </w:p>
    <w:p>
      <w:pPr>
        <w:pStyle w:val="Heading2"/>
        <w:spacing w:before="240" w:after="120" w:line="276" w:lineRule="auto"/>
      </w:pPr>
      <w:r>
        <w:rPr>
          <w:rFonts w:ascii="Calibri" w:hAnsi="Calibri"/>
        </w:rPr>
        <w:t>3.2 Validación de datos</w:t>
      </w:r>
    </w:p>
    <w:p>
      <w:pPr>
        <w:spacing w:before="0" w:after="160" w:line="276" w:lineRule="auto"/>
        <w:jc w:val="both"/>
      </w:pPr>
      <w:r>
        <w:rPr>
          <w:rFonts w:ascii="Calibri" w:hAnsi="Calibri"/>
          <w:b w:val="0"/>
          <w:i w:val="0"/>
          <w:sz w:val="22"/>
        </w:rPr>
        <w:t>Para asegurar que las vulnerabilidades contadas sean reales y no falsos positivos del detector, combinamos varias estrategias tomadas directamente de la literatura revisada. Vudenc valida sus hallazgos con revisión manual de confirmaciones (commits) reales de corrección de vulnerabilidades en GitHub, en lugar de confiar únicamente en la salida del modelo (Wartschinski et al.). Diouf et al. (2026) cruzaron varias bases de datos de vulnerabilidades (GHSA, OSV, entre otras) en vez de depender de una sola fuente. Lomio et al. (2022) reconocen abiertamente que el algoritmo SZZ, que usan para identificar confirmaciones que introducen vulnerabilidades, produce falsos positivos con cierta frecuencia, y mitigan el problema adoptando la implementación de PyDriller, que en estudios previos mostró el mayor recall entre las variantes disponibles del algoritmo.</w:t>
      </w:r>
    </w:p>
    <w:p>
      <w:pPr>
        <w:spacing w:before="0" w:after="160" w:line="276" w:lineRule="auto"/>
        <w:jc w:val="both"/>
      </w:pPr>
      <w:r>
        <w:rPr>
          <w:rFonts w:ascii="Calibri" w:hAnsi="Calibri"/>
          <w:b w:val="0"/>
          <w:i w:val="0"/>
          <w:sz w:val="22"/>
        </w:rPr>
        <w:t>Sobre esa base, nuestro protocolo de validación exige que una vulnerabilidad se registre solo cuando la reporten al menos dos detectores independientes, o un detector junto con la revisión de un evaluador humano con experiencia en seguridad. Antes de calificar una muestra, verificaremos también que la refactorización efectivamente haya ocurrido según lo previsto, usando una herramienta de detección de refactorizaciones en la línea de RMiner (Halepmollasi y Tosun, 2025), y filtraremos coincidencias irrelevantes con un mecanismo de cribado similar al que usa VAScanner para separar métodos de parche relevantes de los que no lo son (Zhang, Fan, Chen, Cai, Xu y Zhao).</w:t>
      </w:r>
    </w:p>
    <w:p>
      <w:pPr>
        <w:pStyle w:val="Heading1"/>
        <w:spacing w:before="360" w:after="160" w:line="276" w:lineRule="auto"/>
      </w:pPr>
      <w:r>
        <w:rPr>
          <w:rFonts w:ascii="Calibri" w:hAnsi="Calibri"/>
        </w:rPr>
        <w:t>Fase 4: Análisis e Interpretación (Analysis and Interpretation)</w:t>
      </w:r>
    </w:p>
    <w:p>
      <w:pPr>
        <w:pStyle w:val="Heading2"/>
        <w:spacing w:before="240" w:after="120" w:line="276" w:lineRule="auto"/>
      </w:pPr>
      <w:r>
        <w:rPr>
          <w:rFonts w:ascii="Calibri" w:hAnsi="Calibri"/>
        </w:rPr>
        <w:t>4.1 Análisis estadístico propuesto</w:t>
      </w:r>
    </w:p>
    <w:p>
      <w:pPr>
        <w:spacing w:before="0" w:after="160" w:line="276" w:lineRule="auto"/>
        <w:jc w:val="both"/>
      </w:pPr>
      <w:r>
        <w:rPr>
          <w:rFonts w:ascii="Calibri" w:hAnsi="Calibri"/>
          <w:b w:val="0"/>
          <w:i w:val="0"/>
          <w:sz w:val="22"/>
        </w:rPr>
        <w:t>Primero calcularemos estadística descriptiva por grupo (media, mediana, desviación estándar, cuartiles) y compararemos las distribuciones con gráficos de densidad y de caja, siguiendo el mismo procedimiento que Diouf et al. (2026) aplican para comparar archivos con y sin errores de seguridad antes de pasar a la inferencia estadística.</w:t>
      </w:r>
    </w:p>
    <w:p>
      <w:pPr>
        <w:spacing w:before="0" w:after="160" w:line="276" w:lineRule="auto"/>
        <w:jc w:val="both"/>
      </w:pPr>
      <w:r>
        <w:rPr>
          <w:rFonts w:ascii="Calibri" w:hAnsi="Calibri"/>
          <w:b w:val="0"/>
          <w:i w:val="0"/>
          <w:sz w:val="22"/>
        </w:rPr>
        <w:t>Como prueba principal usaremos Mann-Whitney U, una prueba no paramétrica que no asume normalidad, es robusta ante valores atípicos y está pensada para comparar dos muestras independientes, exactamente nuestro caso. Diouf et al. (2026) justifican esta misma elección con el mismo razonamiento, y Liu, Le-Cong, Widyasari, Tantithamthavorn, Li, Le y Lo la usan también para comparar el rendimiento de ChatGPT entre lenguajes de programación, complementándola con el coeficiente Cliff's Delta para medir el tamaño del efecto más allá de la significancia. Adoptamos el mismo par de pruebas aquí.</w:t>
      </w:r>
    </w:p>
    <w:p>
      <w:pPr>
        <w:spacing w:before="0" w:after="160" w:line="276" w:lineRule="auto"/>
        <w:jc w:val="both"/>
      </w:pPr>
      <w:r>
        <w:rPr>
          <w:rFonts w:ascii="Calibri" w:hAnsi="Calibri"/>
          <w:b w:val="0"/>
          <w:i w:val="0"/>
          <w:sz w:val="22"/>
        </w:rPr>
        <w:t>Si en una fase posterior ampliamos la comparación a más de dos configuraciones (por ejemplo, distintas combinaciones de SAST y LLM), aplicaremos la prueba post hoc de Nemenyi, siguiendo el uso que le dan Lomio et al. (2022) para comparar ocho modelos de aprendizaje automático entre sí. Si en cambio optamos por un diseño de medidas repetidas, donde la misma persona refactoriza en ambas condiciones sobre muestras equivalentes, usaremos la prueba t pareada junto con ANOVA de un factor, replicando el análisis que Nembhard et al. (2019) aplicaron a los cuatro factores de su propio estudio A/B. En todos los casos fijamos el nivel de significancia en α = 0.05, el mismo umbral que usan Diouf et al. (2026).</w:t>
      </w:r>
    </w:p>
    <w:p>
      <w:pPr>
        <w:pStyle w:val="Heading2"/>
        <w:spacing w:before="240" w:after="120" w:line="276" w:lineRule="auto"/>
      </w:pPr>
      <w:r>
        <w:rPr>
          <w:rFonts w:ascii="Calibri" w:hAnsi="Calibri"/>
        </w:rPr>
        <w:t>4.2 Resultados esperados</w:t>
      </w:r>
    </w:p>
    <w:p>
      <w:pPr>
        <w:spacing w:before="0" w:after="160" w:line="276" w:lineRule="auto"/>
        <w:jc w:val="both"/>
      </w:pPr>
      <w:r>
        <w:rPr>
          <w:rFonts w:ascii="Calibri" w:hAnsi="Calibri"/>
          <w:b w:val="0"/>
          <w:i w:val="0"/>
          <w:sz w:val="22"/>
        </w:rPr>
        <w:t>Con base en la reducción que documenta CodeEnhancer (de 43.6% a 18.4% de fragmentos vulnerables con el modelo ajustado, y tasas finales de 6.7% en LLMSecEval y 3.5% en SecurityEval) y en la mejora de F1 que reportan Bae, Kwon y Myeong (2024) al pasar de GPT-3.5 Turbo, con F1 de 0.6772, a GPT-4o, con F1 de 0.9072, esperamos que el grupo asistido por IA muestre una reducción estadísticamente significativa en el número de vulnerabilidades mantenidas o introducidas frente al grupo manual, suficiente para rechazar H0.</w:t>
      </w:r>
    </w:p>
    <w:p>
      <w:pPr>
        <w:spacing w:before="0" w:after="160" w:line="276" w:lineRule="auto"/>
        <w:jc w:val="both"/>
      </w:pPr>
      <w:r>
        <w:rPr>
          <w:rFonts w:ascii="Calibri" w:hAnsi="Calibri"/>
          <w:b w:val="0"/>
          <w:i w:val="0"/>
          <w:sz w:val="22"/>
        </w:rPr>
        <w:t>No esperamos, sin embargo, que ese efecto sea uniforme entre categorías de vulnerabilidad. La literatura revisada sugiere que las herramientas SAST y los LLMs son especialmente efectivos contra fallos de patrón sintáctico, como la inyección SQL (CWE-89) o la inyección de comandos (CWE-78), que son justamente los que CodeEnhancer ataca de forma directa, mientras que los fallos lógicos o estructurales dependen más de una comprensión semántica del código, el terreno donde métodos basados en grafos como Devign han mostrado ventaja sobre el análisis puramente sintáctico. Por eso, al responder RQ4, anticipamos un efecto más marcado en vulnerabilidades de patrón que en fallos estructurales, y lo señalamos como un resultado esperado en sí mismo, no como un matiz secundario.</w:t>
      </w:r>
    </w:p>
    <w:p>
      <w:pPr>
        <w:spacing w:before="0" w:after="160" w:line="276" w:lineRule="auto"/>
        <w:jc w:val="both"/>
      </w:pPr>
      <w:r>
        <w:rPr>
          <w:rFonts w:ascii="Calibri" w:hAnsi="Calibri"/>
          <w:b w:val="0"/>
          <w:i w:val="0"/>
          <w:sz w:val="22"/>
        </w:rPr>
        <w:t>También esperamos que la mejora en precisión sea más clara que la mejora en recall dentro del grupo asistido por IA. Ese patrón asimétrico ya aparece en Vudenc, con precisión de 82%-96% frente a un recall de 78%-87% (Wartschinski et al.), y es coherente con el diseño de CodeEnhancer, que corrige lo que detecta en lugar de perseguir de forma exhaustiva cada vulnerabilidad posible. Como referencia aproximada de qué tan grande puede considerarse un efecto relevante en este dominio, tomamos la regla del 3x que reportan Diouf et al. (2026), quienes encuentran que los archivos con errores de seguridad muestran valores de métricas de calidad hasta tres veces más altos que los archivos sin errores. Esta proporción no se traslada de forma directa a nuestro experimento, pero ofrece un punto de referencia razonable sobre la magnitud de diferencia que la literatura considera práctica y no solo estadísticamente significativa.</w:t>
      </w:r>
    </w:p>
    <w:p>
      <w:pPr>
        <w:pStyle w:val="Heading1"/>
        <w:spacing w:before="360" w:after="160" w:line="276" w:lineRule="auto"/>
      </w:pPr>
      <w:r>
        <w:rPr>
          <w:rFonts w:ascii="Calibri" w:hAnsi="Calibri"/>
        </w:rPr>
        <w:t>Fase 5: Presentación y Conclusiones (Presentation)</w:t>
      </w:r>
    </w:p>
    <w:p>
      <w:pPr>
        <w:pStyle w:val="Heading2"/>
        <w:spacing w:before="240" w:after="120" w:line="276" w:lineRule="auto"/>
      </w:pPr>
      <w:r>
        <w:rPr>
          <w:rFonts w:ascii="Calibri" w:hAnsi="Calibri"/>
        </w:rPr>
        <w:t>5.1 Relevancia para la industria</w:t>
      </w:r>
    </w:p>
    <w:p>
      <w:pPr>
        <w:spacing w:before="0" w:after="160" w:line="276" w:lineRule="auto"/>
        <w:jc w:val="both"/>
      </w:pPr>
      <w:r>
        <w:rPr>
          <w:rFonts w:ascii="Calibri" w:hAnsi="Calibri"/>
          <w:b w:val="0"/>
          <w:i w:val="0"/>
          <w:sz w:val="22"/>
        </w:rPr>
        <w:t>La motivación original de este dominio de investigación, la que abre el trabajo de Prabith et al. (2024) sobre BiT5, sigue vigente: las vulnerabilidades de software amenazan directamente sectores como las finanzas, la salud y la infraestructura crítica, con consecuencias que van más allá de una falla técnica. Lo que ha cambiado es la fuente del código. CodeEnhancer demuestra que incluso un modelo de última generación como GPT-4o produce, por defecto, debilidades del CWE Top 25 (Lee et al., 2026), y Filus y Domańska (2023) muestran que ni siquiera los frameworks especializados en aprendizaje profundo, como TensorFlow, están libres de vulnerabilidades propias. En conjunto, estos hallazgos indican que las organizaciones que adoptan código generado por IA heredan una deuda de seguridad que la investigación centrada solo en la generación no ha resuelto.</w:t>
      </w:r>
    </w:p>
    <w:p>
      <w:pPr>
        <w:spacing w:before="0" w:after="160" w:line="276" w:lineRule="auto"/>
        <w:jc w:val="both"/>
      </w:pPr>
      <w:r>
        <w:rPr>
          <w:rFonts w:ascii="Calibri" w:hAnsi="Calibri"/>
          <w:b w:val="0"/>
          <w:i w:val="0"/>
          <w:sz w:val="22"/>
        </w:rPr>
        <w:t>Alromaizan, Alzahrani, Khan, Alhumaid, Siam, Umair Khan, Hossain Faruk y Shahriar (2026) sostienen, tras revisar 35 fuentes académicas y corporativas, que la mayoría de las vulnerabilidades persisten no por falta de herramientas de seguridad disponibles, sino porque los desarrolladores no integran la seguridad en su práctica diaria de codificación. Ese argumento reformula el propósito de nuestro experimento: no proponemos una herramienta de detección más, sino que ponemos a prueba si insertar IA y SAST dentro de una tarea rutinaria, la refactorización, cambia realmente el resultado para las personas que hacen ese trabajo todos los días. La misma pregunta se repite en dominios de alto riesgo distintos al que estudiamos aquí, como confirma la revisión de Mnasri, Jmal Maâlej y Jmaiel sobre pruebas de seguridad en contratos inteligentes de Ethereum, lo que sugiere que el problema no es específico de Python ni de aplicaciones web.</w:t>
      </w:r>
    </w:p>
    <w:p>
      <w:pPr>
        <w:pStyle w:val="Heading2"/>
        <w:spacing w:before="240" w:after="120" w:line="276" w:lineRule="auto"/>
      </w:pPr>
      <w:r>
        <w:rPr>
          <w:rFonts w:ascii="Calibri" w:hAnsi="Calibri"/>
        </w:rPr>
        <w:t>5.2 Trabajo futuro</w:t>
      </w:r>
    </w:p>
    <w:p>
      <w:pPr>
        <w:spacing w:before="0" w:after="160" w:line="276" w:lineRule="auto"/>
        <w:jc w:val="both"/>
      </w:pPr>
      <w:r>
        <w:rPr>
          <w:rFonts w:ascii="Calibri" w:hAnsi="Calibri"/>
          <w:b w:val="0"/>
          <w:i w:val="0"/>
          <w:sz w:val="22"/>
        </w:rPr>
        <w:t>Proponemos cuatro líneas de continuación directamente alineadas con vacíos que los propios autores de la literatura revisada señalan. Primero, una réplica a mayor escala en otros lenguajes y en contextos industriales, siguiendo la agenda de trabajo futuro que declaran tanto Lomio et al. (2022) como Halepmollasi y Tosun (2025), ambos limitados a un solo lenguaje y a proyectos de código abierto. Segundo, extender la comparación a varias familias de LLM en lugar de una sola, como hicieron Patcas y Motogna (2026) al evaluar seis modelos distintos (GPT-4o, Gemini 2.0 Flash, Claude 3 Opus, Mistral Large, Grok 3 y DeepSeek V3), para averiguar si el efecto que observemos depende del modelo concreto o se sostiene entre familias.</w:t>
      </w:r>
    </w:p>
    <w:p>
      <w:pPr>
        <w:spacing w:before="0" w:after="160" w:line="276" w:lineRule="auto"/>
        <w:jc w:val="both"/>
      </w:pPr>
      <w:r>
        <w:rPr>
          <w:rFonts w:ascii="Calibri" w:hAnsi="Calibri"/>
          <w:b w:val="0"/>
          <w:i w:val="0"/>
          <w:sz w:val="22"/>
        </w:rPr>
        <w:t>Tercero, incorporar de forma más profunda una capa de detección semántica basada en grafos, en la línea de Devign, como refinamiento del sistema asistido por IA, dado que la literatura revisada sitúa consistentemente a estos métodos por delante del análisis puramente sintáctico frente a fallos estructurales. Cuarto, atender un vacío que los propios autores de CodeEnhancer reconocen en su discusión: los conjuntos de datos actuales, como LLMSecEval y SecurityEval, se construyeron para evaluar generación de código, no refactorización, así que un banco de pruebas construido específicamente para tareas de refactorización sería una contribución directa y necesaria para dar continuidad a este experimento.</w:t>
      </w:r>
    </w:p>
    <w:p>
      <w:pPr>
        <w:pStyle w:val="Heading1"/>
        <w:spacing w:before="360" w:after="160" w:line="276" w:lineRule="auto"/>
      </w:pPr>
      <w:r>
        <w:rPr>
          <w:rFonts w:ascii="Calibri" w:hAnsi="Calibri"/>
        </w:rPr>
        <w:t>Referencias</w:t>
      </w:r>
    </w:p>
    <w:p>
      <w:pPr>
        <w:spacing w:before="0" w:after="140" w:line="276" w:lineRule="auto"/>
        <w:ind w:left="360" w:hanging="360"/>
      </w:pPr>
      <w:r>
        <w:rPr>
          <w:rFonts w:ascii="Calibri" w:hAnsi="Calibri"/>
          <w:b w:val="0"/>
          <w:i w:val="0"/>
          <w:sz w:val="20"/>
        </w:rPr>
        <w:t>Aladics, T., Hegedűs, P., &amp; Ferenc, R. (2024). A comparative study of commit representations for JIT vulnerability prediction. Computers (MDPI).</w:t>
      </w:r>
    </w:p>
    <w:p>
      <w:pPr>
        <w:spacing w:before="0" w:after="140" w:line="276" w:lineRule="auto"/>
        <w:ind w:left="360" w:hanging="360"/>
      </w:pPr>
      <w:r>
        <w:rPr>
          <w:rFonts w:ascii="Calibri" w:hAnsi="Calibri"/>
          <w:b w:val="0"/>
          <w:i w:val="0"/>
          <w:sz w:val="20"/>
        </w:rPr>
        <w:t>Alromaizan, A., Alzahrani, G., Khan, A., Alhumaid, L., Siam, M. K., Umair Khan, M., Hossain Faruk, M. J., &amp; Shahriar, H. (2026). Toward a unified framework for secure coding: A comprehensive synthesis of best practices. MDPI.</w:t>
      </w:r>
    </w:p>
    <w:p>
      <w:pPr>
        <w:spacing w:before="0" w:after="140" w:line="276" w:lineRule="auto"/>
        <w:ind w:left="360" w:hanging="360"/>
      </w:pPr>
      <w:r>
        <w:rPr>
          <w:rFonts w:ascii="Calibri" w:hAnsi="Calibri"/>
          <w:b w:val="0"/>
          <w:i w:val="0"/>
          <w:sz w:val="20"/>
        </w:rPr>
        <w:t>Bae, J., Kwon, S., &amp; Myeong, S. (2024). Enhancing software code vulnerability detection using GPT-4o and Claude-3.5 Sonnet: A study on prompt engineering techniques. Electronics (MDPI).</w:t>
      </w:r>
    </w:p>
    <w:p>
      <w:pPr>
        <w:spacing w:before="0" w:after="140" w:line="276" w:lineRule="auto"/>
        <w:ind w:left="360" w:hanging="360"/>
      </w:pPr>
      <w:r>
        <w:rPr>
          <w:rFonts w:ascii="Calibri" w:hAnsi="Calibri"/>
          <w:b w:val="0"/>
          <w:i w:val="0"/>
          <w:sz w:val="20"/>
        </w:rPr>
        <w:t>Bagheri, A., &amp; Hegedűs, P. (2024). Towards a block-level ML-based Python vulnerability detection tool. Acta Cybernetica, 26, 323–371.</w:t>
      </w:r>
    </w:p>
    <w:p>
      <w:pPr>
        <w:spacing w:before="0" w:after="140" w:line="276" w:lineRule="auto"/>
        <w:ind w:left="360" w:hanging="360"/>
      </w:pPr>
      <w:r>
        <w:rPr>
          <w:rFonts w:ascii="Calibri" w:hAnsi="Calibri"/>
          <w:b w:val="0"/>
          <w:i w:val="0"/>
          <w:sz w:val="20"/>
        </w:rPr>
        <w:t>Diouf, M., Toe, E., Grichi, M., Nakouri, H., &amp; Jaafar, F. (2026). Predicting software security bugs using machine learning and quality metrics: An empirical study. Computers, Materials &amp; Continua, 87(3).</w:t>
      </w:r>
    </w:p>
    <w:p>
      <w:pPr>
        <w:spacing w:before="0" w:after="140" w:line="276" w:lineRule="auto"/>
        <w:ind w:left="360" w:hanging="360"/>
      </w:pPr>
      <w:r>
        <w:rPr>
          <w:rFonts w:ascii="Calibri" w:hAnsi="Calibri"/>
          <w:b w:val="0"/>
          <w:i w:val="0"/>
          <w:sz w:val="20"/>
        </w:rPr>
        <w:t>Filus, K., &amp; Domańska, J. (2023). Software vulnerabilities in TensorFlow-based deep learning applications. Computers &amp; Security, 124, 102948.</w:t>
      </w:r>
    </w:p>
    <w:p>
      <w:pPr>
        <w:spacing w:before="0" w:after="140" w:line="276" w:lineRule="auto"/>
        <w:ind w:left="360" w:hanging="360"/>
      </w:pPr>
      <w:r>
        <w:rPr>
          <w:rFonts w:ascii="Calibri" w:hAnsi="Calibri"/>
          <w:b w:val="0"/>
          <w:i w:val="0"/>
          <w:sz w:val="20"/>
        </w:rPr>
        <w:t>Halepmollasi, R. A., &amp; Tosun, A. (2025). Predicting vulnerable code changes using technical debt indicators. IEEE Access, 13.</w:t>
      </w:r>
    </w:p>
    <w:p>
      <w:pPr>
        <w:spacing w:before="0" w:after="140" w:line="276" w:lineRule="auto"/>
        <w:ind w:left="360" w:hanging="360"/>
      </w:pPr>
      <w:r>
        <w:rPr>
          <w:rFonts w:ascii="Calibri" w:hAnsi="Calibri"/>
          <w:b w:val="0"/>
          <w:i w:val="0"/>
          <w:sz w:val="20"/>
        </w:rPr>
        <w:t>Lee, J., Mai, K., Ghate, N., Yagyu, T., Beuran, R., &amp; Tan, Y. (2026). CodeEnhancer: LLM-generated Python code enhancement through SAST integration and fine-tuning. Knowledge-Based Systems, 342, 115925.</w:t>
      </w:r>
    </w:p>
    <w:p>
      <w:pPr>
        <w:spacing w:before="0" w:after="140" w:line="276" w:lineRule="auto"/>
        <w:ind w:left="360" w:hanging="360"/>
      </w:pPr>
      <w:r>
        <w:rPr>
          <w:rFonts w:ascii="Calibri" w:hAnsi="Calibri"/>
          <w:b w:val="0"/>
          <w:i w:val="0"/>
          <w:sz w:val="20"/>
        </w:rPr>
        <w:t>Lee Song Haw, C., Murali Mohan, P., Pan, J., &amp; Loh Kok Keong, P. An integrated smart contract vulnerability detection tool using multi-layer perceptron on real-time Solidity smart contracts. IEEE Access, 11.</w:t>
      </w:r>
    </w:p>
    <w:p>
      <w:pPr>
        <w:spacing w:before="0" w:after="140" w:line="276" w:lineRule="auto"/>
        <w:ind w:left="360" w:hanging="360"/>
      </w:pPr>
      <w:r>
        <w:rPr>
          <w:rFonts w:ascii="Calibri" w:hAnsi="Calibri"/>
          <w:b w:val="0"/>
          <w:i w:val="0"/>
          <w:sz w:val="20"/>
        </w:rPr>
        <w:t>Liu, Y., Le-Cong, T., Widyasari, R., Tantithamthavorn, C., Li, L., Le, X.-B. D., &amp; Lo, D. Refining ChatGPT-generated code: Characterizing and mitigating code quality issues.</w:t>
      </w:r>
    </w:p>
    <w:p>
      <w:pPr>
        <w:spacing w:before="0" w:after="140" w:line="276" w:lineRule="auto"/>
        <w:ind w:left="360" w:hanging="360"/>
      </w:pPr>
      <w:r>
        <w:rPr>
          <w:rFonts w:ascii="Calibri" w:hAnsi="Calibri"/>
          <w:b w:val="0"/>
          <w:i w:val="0"/>
          <w:sz w:val="20"/>
        </w:rPr>
        <w:t>Lomio, F., Iannone, E., De Lucia, A., Palomba, F., &amp; Lenarduzzi, V. (2022). Just-in-time software vulnerability detection: Are we there yet? Journal of Systems and Software, 188, 111283.</w:t>
      </w:r>
    </w:p>
    <w:p>
      <w:pPr>
        <w:spacing w:before="0" w:after="140" w:line="276" w:lineRule="auto"/>
        <w:ind w:left="360" w:hanging="360"/>
      </w:pPr>
      <w:r>
        <w:rPr>
          <w:rFonts w:ascii="Calibri" w:hAnsi="Calibri"/>
          <w:b w:val="0"/>
          <w:i w:val="0"/>
          <w:sz w:val="20"/>
        </w:rPr>
        <w:t>Mnasri, M., Jmal Maâlej, A., &amp; Jmaiel, M. A systematic literature review on security testing of Ethereum smart contracts. Blockchain: Research and Applications, 7, 100314.</w:t>
      </w:r>
    </w:p>
    <w:p>
      <w:pPr>
        <w:spacing w:before="0" w:after="140" w:line="276" w:lineRule="auto"/>
        <w:ind w:left="360" w:hanging="360"/>
      </w:pPr>
      <w:r>
        <w:rPr>
          <w:rFonts w:ascii="Calibri" w:hAnsi="Calibri"/>
          <w:b w:val="0"/>
          <w:i w:val="0"/>
          <w:sz w:val="20"/>
        </w:rPr>
        <w:t>Nembhard, F. D., Carvalho, M. M., &amp; Eskridge, T. C. (2019). Towards the application of recommender systems to secure coding. EURASIP Journal on Information Security, 2019(9).</w:t>
      </w:r>
    </w:p>
    <w:p>
      <w:pPr>
        <w:spacing w:before="0" w:after="140" w:line="276" w:lineRule="auto"/>
        <w:ind w:left="360" w:hanging="360"/>
      </w:pPr>
      <w:r>
        <w:rPr>
          <w:rFonts w:ascii="Calibri" w:hAnsi="Calibri"/>
          <w:b w:val="0"/>
          <w:i w:val="0"/>
          <w:sz w:val="20"/>
        </w:rPr>
        <w:t>Patcas, R., &amp; Motogna, S. (2026). An evaluation study of large language models for addressing code quality issues. Empirical Software Engineering, 31, 118.</w:t>
      </w:r>
    </w:p>
    <w:p>
      <w:pPr>
        <w:spacing w:before="0" w:after="140" w:line="276" w:lineRule="auto"/>
        <w:ind w:left="360" w:hanging="360"/>
      </w:pPr>
      <w:r>
        <w:rPr>
          <w:rFonts w:ascii="Calibri" w:hAnsi="Calibri"/>
          <w:b w:val="0"/>
          <w:i w:val="0"/>
          <w:sz w:val="20"/>
        </w:rPr>
        <w:t>Prabith, G. S., Narayanan, R., Arya, A., Nadh, A. R., &amp; Binu, P. K. (2024). BiT5: A bidirectional NLP approach for advanced vulnerability detection in codebase. Procedia Computer Science, 233, 812–821.</w:t>
      </w:r>
    </w:p>
    <w:p>
      <w:pPr>
        <w:spacing w:before="0" w:after="140" w:line="276" w:lineRule="auto"/>
        <w:ind w:left="360" w:hanging="360"/>
      </w:pPr>
      <w:r>
        <w:rPr>
          <w:rFonts w:ascii="Calibri" w:hAnsi="Calibri"/>
          <w:b w:val="0"/>
          <w:i w:val="0"/>
          <w:sz w:val="20"/>
        </w:rPr>
        <w:t>Tang, B., Zhang, S., Zhu, F., &amp; Ye, A. CAPRA: Context-aware patch risk assessment for detecting immature vulnerability in open-source software. Computers &amp; Security.</w:t>
      </w:r>
    </w:p>
    <w:p>
      <w:pPr>
        <w:spacing w:before="0" w:after="140" w:line="276" w:lineRule="auto"/>
        <w:ind w:left="360" w:hanging="360"/>
      </w:pPr>
      <w:r>
        <w:rPr>
          <w:rFonts w:ascii="Calibri" w:hAnsi="Calibri"/>
          <w:b w:val="0"/>
          <w:i w:val="0"/>
          <w:sz w:val="20"/>
        </w:rPr>
        <w:t>Wartschinski, L., Noller, Y., Vogel, T., Kehrer, T., &amp; Grunske, L. VUDENC: Vulnerability detection with deep learning on a natural codebase for Python.</w:t>
      </w:r>
    </w:p>
    <w:p>
      <w:pPr>
        <w:spacing w:before="0" w:after="140" w:line="276" w:lineRule="auto"/>
        <w:ind w:left="360" w:hanging="360"/>
      </w:pPr>
      <w:r>
        <w:rPr>
          <w:rFonts w:ascii="Calibri" w:hAnsi="Calibri"/>
          <w:b w:val="0"/>
          <w:i w:val="0"/>
          <w:sz w:val="20"/>
        </w:rPr>
        <w:t>Zhang, F., Fan, L., Chen, S., Cai, M., Xu, S., &amp; Zhao, L. Does the vulnerability threaten our projects? Automated vulnerable API detection for third-party libraries.</w:t>
      </w:r>
    </w:p>
    <w:p>
      <w:pPr>
        <w:spacing w:before="0" w:after="140" w:line="276" w:lineRule="auto"/>
        <w:ind w:left="360" w:hanging="360"/>
      </w:pPr>
      <w:r>
        <w:rPr>
          <w:rFonts w:ascii="Calibri" w:hAnsi="Calibri"/>
          <w:b w:val="0"/>
          <w:i w:val="0"/>
          <w:sz w:val="20"/>
        </w:rPr>
        <w:t>Zhou, Y., Liu, S., Siow, J., Du, X., &amp; Liu, Y. (2019). Devign: Effective vulnerability identification by learning comprehensive program semantics via graph neural networks. Advances in Neural Information Processing Systems, 32. (Obra referenciada de forma reiterada dentro del corpus revisado, no uno de los 39 estudios primarios.)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