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caps/>
          <w:color w:val="999999"/>
          <w:sz w:val="28"/>
          <w:szCs w:val="28"/>
        </w:rPr>
        <w:t xml:space="preserve">CULTIVATE</w:t>
      </w:r>
    </w:p>
    <w:p>
      <w:pPr>
        <w:spacing w:after="60" w:before="0"/>
        <w:jc w:val="center"/>
      </w:pPr>
      <w:r>
        <w:rPr>
          <w:rFonts w:ascii="Georgia" w:cs="Georgia" w:eastAsia="Georgia" w:hAnsi="Georgia"/>
          <w:b/>
          <w:bCs/>
          <w:color w:val="2A7D6F"/>
          <w:sz w:val="56"/>
          <w:szCs w:val="56"/>
        </w:rPr>
        <w:t xml:space="preserve">The Glade</w:t>
      </w:r>
    </w:p>
    <w:p>
      <w:pPr>
        <w:spacing w:after="40" w:before="0"/>
        <w:jc w:val="center"/>
      </w:pPr>
      <w:r>
        <w:rPr>
          <w:rFonts w:ascii="Georgia" w:cs="Georgia" w:eastAsia="Georgia" w:hAnsi="Georgia"/>
          <w:i/>
          <w:iCs/>
          <w:color w:val="C4622D"/>
          <w:sz w:val="26"/>
          <w:szCs w:val="26"/>
        </w:rPr>
        <w:t xml:space="preserve">A space to grow into yourself</w:t>
      </w:r>
    </w:p>
    <w:p>
      <w:pPr>
        <w:pBdr>
          <w:bottom w:val="single" w:color="E8F5F2" w:sz="4" w:space="8"/>
        </w:pBdr>
        <w:spacing w:after="200" w:before="40"/>
        <w:jc w:val="center"/>
      </w:pPr>
      <w:r>
        <w:rPr>
          <w:rFonts w:ascii="Calibri" w:cs="Calibri" w:eastAsia="Calibri" w:hAnsi="Calibri"/>
          <w:color w:val="666666"/>
          <w:sz w:val="20"/>
          <w:szCs w:val="20"/>
        </w:rPr>
        <w:t xml:space="preserve">Teen Community Space  •  Ages 13–18  •  Part of Cultivate</w:t>
      </w:r>
    </w:p>
    <w:p>
      <w:pPr>
        <w:pBdr>
          <w:left w:val="single" w:color="C4622D" w:sz="18" w:space="10"/>
        </w:pBdr>
        <w:spacing w:after="0" w:before="320"/>
      </w:pPr>
      <w:r>
        <w:rPr>
          <w:rFonts w:ascii="Georgia" w:cs="Georgia" w:eastAsia="Georgia" w:hAnsi="Georgia"/>
          <w:b/>
          <w:bCs/>
          <w:color w:val="2A7D6F"/>
          <w:sz w:val="28"/>
          <w:szCs w:val="28"/>
        </w:rPr>
        <w:t xml:space="preserve">What The Glade Is</w:t>
      </w:r>
    </w:p>
    <w:p>
      <w:pPr>
        <w:pBdr>
          <w:left w:val="single" w:color="C4622D" w:sz="18" w:space="10"/>
        </w:pBdr>
        <w:spacing w:after="100" w:before="0"/>
      </w:pPr>
      <w:r>
        <w:rPr>
          <w:rFonts w:ascii="Georgia" w:cs="Georgia" w:eastAsia="Georgia" w:hAnsi="Georgia"/>
          <w:i/>
          <w:iCs/>
          <w:color w:val="C4622D"/>
          <w:sz w:val="20"/>
          <w:szCs w:val="20"/>
        </w:rPr>
        <w:t xml:space="preserve">A judgment-free space built for teens, by design</w:t>
      </w:r>
    </w:p>
    <w:p>
      <w:pPr>
        <w:spacing w:after="80" w:before="80"/>
      </w:pPr>
      <w:r>
        <w:rPr>
          <w:rFonts w:ascii="Calibri" w:cs="Calibri" w:eastAsia="Calibri" w:hAnsi="Calibri"/>
          <w:color w:val="1A2E2B"/>
          <w:sz w:val="22"/>
          <w:szCs w:val="22"/>
        </w:rPr>
        <w:t xml:space="preserve">The Glade is the heart of Cultivate — a community space designed around what teens actually need: a place that feels safe, unhurried, and genuinely theirs. There are no grades here, no performance pressure, and no social hierarchy to navigate. Just real people, real skills, and real community.</w:t>
      </w:r>
    </w:p>
    <w:p>
      <w:pPr>
        <w:spacing w:after="80" w:before="80"/>
      </w:pPr>
      <w:r>
        <w:rPr>
          <w:rFonts w:ascii="Calibri" w:cs="Calibri" w:eastAsia="Calibri" w:hAnsi="Calibri"/>
          <w:color w:val="1A2E2B"/>
          <w:sz w:val="22"/>
          <w:szCs w:val="22"/>
        </w:rPr>
        <w:t xml:space="preserve">We serve the whole teen. That means intentional support for neurodiverse teens, including staff with backgrounds in ABA therapy and special education. A truly judgment-free space requires more than good intentions — it requires the right people.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Daily Rhythm</w:t>
      </w:r>
    </w:p>
    <w:p>
      <w:pPr>
        <w:pBdr>
          <w:left w:val="single" w:color="C4622D" w:sz="18" w:space="10"/>
        </w:pBdr>
        <w:spacing w:after="100" w:before="0"/>
      </w:pPr>
      <w:r>
        <w:rPr>
          <w:rFonts w:ascii="Georgia" w:cs="Georgia" w:eastAsia="Georgia" w:hAnsi="Georgia"/>
          <w:i/>
          <w:iCs/>
          <w:color w:val="C4622D"/>
          <w:sz w:val="20"/>
          <w:szCs w:val="20"/>
        </w:rPr>
        <w:t xml:space="preserve">Unhurried mornings, purposeful afternoons</w:t>
      </w:r>
    </w:p>
    <w:p>
      <w:pPr>
        <w:spacing w:after="80" w:before="80"/>
      </w:pPr>
      <w:r>
        <w:rPr>
          <w:rFonts w:ascii="Calibri" w:cs="Calibri" w:eastAsia="Calibri" w:hAnsi="Calibri"/>
          <w:color w:val="1A2E2B"/>
          <w:sz w:val="22"/>
          <w:szCs w:val="22"/>
        </w:rPr>
        <w:t xml:space="preserve">Mornings in The Glade are intentionally unstructured. Teens arrive, settle in, and exist together without pressure. Around 11:00am, the community naturally comes together — around food, conversation, and the work of the day.</w:t>
      </w:r>
    </w:p>
    <w:p>
      <w:pPr>
        <w:spacing w:after="80" w:before="200"/>
      </w:pPr>
      <w:r>
        <w:rPr>
          <w:rFonts w:ascii="Calibri" w:cs="Calibri" w:eastAsia="Calibri" w:hAnsi="Calibri"/>
          <w:b/>
          <w:bCs/>
          <w:color w:val="2A7D6F"/>
          <w:sz w:val="22"/>
          <w:szCs w:val="22"/>
        </w:rPr>
        <w:t xml:space="preserve">Food at the Center</w:t>
      </w:r>
    </w:p>
    <w:p>
      <w:pPr>
        <w:spacing w:after="80" w:before="80"/>
      </w:pPr>
      <w:r>
        <w:rPr>
          <w:rFonts w:ascii="Calibri" w:cs="Calibri" w:eastAsia="Calibri" w:hAnsi="Calibri"/>
          <w:color w:val="1A2E2B"/>
          <w:sz w:val="22"/>
          <w:szCs w:val="22"/>
        </w:rPr>
        <w:t xml:space="preserve">Every day, we cook together. A real, balanced lunch — not for a grade, but because feeding yourself well is one of the most fundamental life skills there is. Healthy snacks are available throughout the day as part of membership. Through communal cooking, teens explore different cultures, learn nutrition and budgeting, and discover the joy of sharing a table.</w:t>
      </w:r>
    </w:p>
    <w:p>
      <w:pPr>
        <w:spacing w:after="80" w:before="200"/>
      </w:pPr>
      <w:r>
        <w:rPr>
          <w:rFonts w:ascii="Calibri" w:cs="Calibri" w:eastAsia="Calibri" w:hAnsi="Calibri"/>
          <w:b/>
          <w:bCs/>
          <w:color w:val="2A7D6F"/>
          <w:sz w:val="22"/>
          <w:szCs w:val="22"/>
        </w:rPr>
        <w:t xml:space="preserve">The Weekly Rhythm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2A7D6F" w:sz="1"/>
              <w:left w:val="single" w:color="2A7D6F" w:sz="1"/>
              <w:bottom w:val="single" w:color="2A7D6F" w:sz="1"/>
              <w:right w:val="single" w:color="2A7D6F" w:sz="1"/>
            </w:tcBorders>
            <w:shd w:fill="2A7D6F" w:val="clear"/>
            <w:tcMar>
              <w:top w:type="dxa" w:w="100"/>
              <w:left w:type="dxa" w:w="140"/>
              <w:bottom w:type="dxa" w:w="100"/>
              <w:right w:type="dxa" w:w="140"/>
            </w:tcMar>
          </w:tcPr>
          <w:p>
            <w:r>
              <w:rPr>
                <w:rFonts w:ascii="Calibri" w:cs="Calibri" w:eastAsia="Calibri" w:hAnsi="Calibri"/>
                <w:b/>
                <w:bCs/>
                <w:color w:val="FFFFFF"/>
                <w:sz w:val="20"/>
                <w:szCs w:val="20"/>
              </w:rPr>
              <w:t xml:space="preserve">Days</w:t>
            </w:r>
          </w:p>
        </w:tc>
        <w:tc>
          <w:tcPr>
            <w:tcW w:type="dxa" w:w="2400"/>
            <w:tcBorders>
              <w:top w:val="single" w:color="2A7D6F" w:sz="1"/>
              <w:left w:val="single" w:color="2A7D6F" w:sz="1"/>
              <w:bottom w:val="single" w:color="2A7D6F" w:sz="1"/>
              <w:right w:val="single" w:color="2A7D6F" w:sz="1"/>
            </w:tcBorders>
            <w:shd w:fill="2A7D6F" w:val="clear"/>
            <w:tcMar>
              <w:top w:type="dxa" w:w="100"/>
              <w:left w:type="dxa" w:w="140"/>
              <w:bottom w:type="dxa" w:w="100"/>
              <w:right w:type="dxa" w:w="140"/>
            </w:tcMar>
          </w:tcPr>
          <w:p>
            <w:r>
              <w:rPr>
                <w:rFonts w:ascii="Calibri" w:cs="Calibri" w:eastAsia="Calibri" w:hAnsi="Calibri"/>
                <w:b/>
                <w:bCs/>
                <w:color w:val="FFFFFF"/>
                <w:sz w:val="20"/>
                <w:szCs w:val="20"/>
              </w:rPr>
              <w:t xml:space="preserve">Focus</w:t>
            </w:r>
          </w:p>
        </w:tc>
        <w:tc>
          <w:tcPr>
            <w:tcW w:type="dxa" w:w="5060"/>
            <w:tcBorders>
              <w:top w:val="single" w:color="2A7D6F" w:sz="1"/>
              <w:left w:val="single" w:color="2A7D6F" w:sz="1"/>
              <w:bottom w:val="single" w:color="2A7D6F" w:sz="1"/>
              <w:right w:val="single" w:color="2A7D6F" w:sz="1"/>
            </w:tcBorders>
            <w:shd w:fill="2A7D6F" w:val="clear"/>
            <w:tcMar>
              <w:top w:type="dxa" w:w="100"/>
              <w:left w:type="dxa" w:w="140"/>
              <w:bottom w:type="dxa" w:w="100"/>
              <w:right w:type="dxa" w:w="140"/>
            </w:tcMar>
          </w:tcPr>
          <w:p>
            <w:r>
              <w:rPr>
                <w:rFonts w:ascii="Calibri" w:cs="Calibri" w:eastAsia="Calibri" w:hAnsi="Calibri"/>
                <w:b/>
                <w:bCs/>
                <w:color w:val="FFFFFF"/>
                <w:sz w:val="20"/>
                <w:szCs w:val="20"/>
              </w:rPr>
              <w:t xml:space="preserve">What Happens</w:t>
            </w:r>
          </w:p>
        </w:tc>
      </w:tr>
      <w:tr>
        <w:tc>
          <w:tcPr>
            <w:tcW w:type="dxa" w:w="1900"/>
            <w:tcBorders>
              <w:top w:val="single" w:color="DDDDDD" w:sz="1"/>
              <w:left w:val="single" w:color="DDDDDD" w:sz="1"/>
              <w:bottom w:val="single" w:color="DDDDDD" w:sz="1"/>
              <w:right w:val="single" w:color="DDDDDD" w:sz="1"/>
            </w:tcBorders>
            <w:shd w:fill="E8F5F2" w:val="clear"/>
            <w:tcMar>
              <w:top w:type="dxa" w:w="100"/>
              <w:left w:type="dxa" w:w="140"/>
              <w:bottom w:type="dxa" w:w="100"/>
              <w:right w:type="dxa" w:w="140"/>
            </w:tcMar>
            <w:vAlign w:val="center"/>
          </w:tcPr>
          <w:p>
            <w:r>
              <w:rPr>
                <w:rFonts w:ascii="Calibri" w:cs="Calibri" w:eastAsia="Calibri" w:hAnsi="Calibri"/>
                <w:b/>
                <w:bCs/>
                <w:color w:val="2A7D6F"/>
                <w:sz w:val="20"/>
                <w:szCs w:val="20"/>
              </w:rPr>
              <w:t xml:space="preserve">Mon / Wed / Fri</w:t>
            </w:r>
          </w:p>
        </w:tc>
        <w:tc>
          <w:tcPr>
            <w:tcW w:type="dxa" w:w="2400"/>
            <w:tcBorders>
              <w:top w:val="single" w:color="DDDDDD" w:sz="1"/>
              <w:left w:val="single" w:color="DDDDDD" w:sz="1"/>
              <w:bottom w:val="single" w:color="DDDDDD" w:sz="1"/>
              <w:right w:val="single" w:color="DDDDDD" w:sz="1"/>
            </w:tcBorders>
            <w:shd w:fill="FDF6F0" w:val="clear"/>
            <w:tcMar>
              <w:top w:type="dxa" w:w="100"/>
              <w:left w:type="dxa" w:w="140"/>
              <w:bottom w:type="dxa" w:w="100"/>
              <w:right w:type="dxa" w:w="140"/>
            </w:tcMar>
            <w:vAlign w:val="center"/>
          </w:tcPr>
          <w:p>
            <w:r>
              <w:rPr>
                <w:rFonts w:ascii="Calibri" w:cs="Calibri" w:eastAsia="Calibri" w:hAnsi="Calibri"/>
                <w:b/>
                <w:bCs/>
                <w:color w:val="C4622D"/>
                <w:sz w:val="20"/>
                <w:szCs w:val="20"/>
              </w:rPr>
              <w:t xml:space="preserve">Life Skills &amp; Projects</w:t>
            </w:r>
          </w:p>
        </w:tc>
        <w:tc>
          <w:tcPr>
            <w:tcW w:type="dxa" w:w="50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alibri" w:cs="Calibri" w:eastAsia="Calibri" w:hAnsi="Calibri"/>
                <w:color w:val="1A2E2B"/>
                <w:sz w:val="20"/>
                <w:szCs w:val="20"/>
              </w:rPr>
              <w:t xml:space="preserve">Workshops, group and personal projects, skill-building. Real-world focus: home repair, cleaning, money management, communication, creative arts &amp; media.</w:t>
            </w:r>
          </w:p>
        </w:tc>
      </w:tr>
      <w:tr>
        <w:tc>
          <w:tcPr>
            <w:tcW w:type="dxa" w:w="1900"/>
            <w:tcBorders>
              <w:top w:val="single" w:color="DDDDDD" w:sz="1"/>
              <w:left w:val="single" w:color="DDDDDD" w:sz="1"/>
              <w:bottom w:val="single" w:color="DDDDDD" w:sz="1"/>
              <w:right w:val="single" w:color="DDDDDD" w:sz="1"/>
            </w:tcBorders>
            <w:shd w:fill="E8F5F2" w:val="clear"/>
            <w:tcMar>
              <w:top w:type="dxa" w:w="100"/>
              <w:left w:type="dxa" w:w="140"/>
              <w:bottom w:type="dxa" w:w="100"/>
              <w:right w:type="dxa" w:w="140"/>
            </w:tcMar>
            <w:vAlign w:val="center"/>
          </w:tcPr>
          <w:p>
            <w:r>
              <w:rPr>
                <w:rFonts w:ascii="Calibri" w:cs="Calibri" w:eastAsia="Calibri" w:hAnsi="Calibri"/>
                <w:b/>
                <w:bCs/>
                <w:color w:val="2A7D6F"/>
                <w:sz w:val="20"/>
                <w:szCs w:val="20"/>
              </w:rPr>
              <w:t xml:space="preserve">Tue / Thu</w:t>
            </w:r>
          </w:p>
        </w:tc>
        <w:tc>
          <w:tcPr>
            <w:tcW w:type="dxa" w:w="2400"/>
            <w:tcBorders>
              <w:top w:val="single" w:color="DDDDDD" w:sz="1"/>
              <w:left w:val="single" w:color="DDDDDD" w:sz="1"/>
              <w:bottom w:val="single" w:color="DDDDDD" w:sz="1"/>
              <w:right w:val="single" w:color="DDDDDD" w:sz="1"/>
            </w:tcBorders>
            <w:shd w:fill="FDF6F0" w:val="clear"/>
            <w:tcMar>
              <w:top w:type="dxa" w:w="100"/>
              <w:left w:type="dxa" w:w="140"/>
              <w:bottom w:type="dxa" w:w="100"/>
              <w:right w:type="dxa" w:w="140"/>
            </w:tcMar>
            <w:vAlign w:val="center"/>
          </w:tcPr>
          <w:p>
            <w:r>
              <w:rPr>
                <w:rFonts w:ascii="Calibri" w:cs="Calibri" w:eastAsia="Calibri" w:hAnsi="Calibri"/>
                <w:b/>
                <w:bCs/>
                <w:color w:val="C4622D"/>
                <w:sz w:val="20"/>
                <w:szCs w:val="20"/>
              </w:rPr>
              <w:t xml:space="preserve">Core Enrichment</w:t>
            </w:r>
          </w:p>
        </w:tc>
        <w:tc>
          <w:tcPr>
            <w:tcW w:type="dxa" w:w="50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Calibri" w:cs="Calibri" w:eastAsia="Calibri" w:hAnsi="Calibri"/>
                <w:color w:val="1A2E2B"/>
                <w:sz w:val="20"/>
                <w:szCs w:val="20"/>
              </w:rPr>
              <w:t xml:space="preserve">Optional academic enrichment using Layers of Learning — a pod-style curriculum built for family and community learning environments.</w:t>
            </w:r>
          </w:p>
        </w:tc>
      </w:tr>
    </w:tbl>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Life Skills We Prioritize</w:t>
      </w:r>
    </w:p>
    <w:p>
      <w:pPr>
        <w:pBdr>
          <w:left w:val="single" w:color="C4622D" w:sz="18" w:space="10"/>
        </w:pBdr>
        <w:spacing w:after="100" w:before="0"/>
      </w:pPr>
      <w:r>
        <w:rPr>
          <w:rFonts w:ascii="Georgia" w:cs="Georgia" w:eastAsia="Georgia" w:hAnsi="Georgia"/>
          <w:i/>
          <w:iCs/>
          <w:color w:val="C4622D"/>
          <w:sz w:val="20"/>
          <w:szCs w:val="20"/>
        </w:rPr>
        <w:t xml:space="preserve">Real skills for a real world</w:t>
      </w:r>
    </w:p>
    <w:p>
      <w:pPr>
        <w:spacing w:after="80" w:before="80"/>
      </w:pPr>
      <w:r>
        <w:rPr>
          <w:rFonts w:ascii="Calibri" w:cs="Calibri" w:eastAsia="Calibri" w:hAnsi="Calibri"/>
          <w:color w:val="1A2E2B"/>
          <w:sz w:val="22"/>
          <w:szCs w:val="22"/>
        </w:rPr>
        <w:t xml:space="preserve">Our workshops are guided by what families and teens actually need. That includes a rotating fix-it list — teens learn hands-on repair and maintenance using real projects from real homes in our community.</w:t>
      </w:r>
    </w:p>
    <w:p>
      <w:pPr>
        <w:pStyle w:val="ListParagraph"/>
        <w:numPr>
          <w:ilvl w:val="0"/>
          <w:numId w:val="2"/>
        </w:numPr>
        <w:spacing w:after="50" w:before="50"/>
      </w:pPr>
      <w:r>
        <w:rPr>
          <w:rFonts w:ascii="Calibri" w:cs="Calibri" w:eastAsia="Calibri" w:hAnsi="Calibri"/>
          <w:color w:val="1A2E2B"/>
          <w:sz w:val="22"/>
          <w:szCs w:val="22"/>
        </w:rPr>
        <w:t xml:space="preserve">Home repair &amp; basic maintenance</w:t>
      </w:r>
    </w:p>
    <w:p>
      <w:pPr>
        <w:pStyle w:val="ListParagraph"/>
        <w:numPr>
          <w:ilvl w:val="0"/>
          <w:numId w:val="2"/>
        </w:numPr>
        <w:spacing w:after="50" w:before="50"/>
      </w:pPr>
      <w:r>
        <w:rPr>
          <w:rFonts w:ascii="Calibri" w:cs="Calibri" w:eastAsia="Calibri" w:hAnsi="Calibri"/>
          <w:color w:val="1A2E2B"/>
          <w:sz w:val="22"/>
          <w:szCs w:val="22"/>
        </w:rPr>
        <w:t xml:space="preserve">Cooking, nutrition &amp; budget-friendly meal planning</w:t>
      </w:r>
    </w:p>
    <w:p>
      <w:pPr>
        <w:pStyle w:val="ListParagraph"/>
        <w:numPr>
          <w:ilvl w:val="0"/>
          <w:numId w:val="2"/>
        </w:numPr>
        <w:spacing w:after="50" w:before="50"/>
      </w:pPr>
      <w:r>
        <w:rPr>
          <w:rFonts w:ascii="Calibri" w:cs="Calibri" w:eastAsia="Calibri" w:hAnsi="Calibri"/>
          <w:color w:val="1A2E2B"/>
          <w:sz w:val="22"/>
          <w:szCs w:val="22"/>
        </w:rPr>
        <w:t xml:space="preserve">Cleaning &amp; household management</w:t>
      </w:r>
    </w:p>
    <w:p>
      <w:pPr>
        <w:pStyle w:val="ListParagraph"/>
        <w:numPr>
          <w:ilvl w:val="0"/>
          <w:numId w:val="2"/>
        </w:numPr>
        <w:spacing w:after="50" w:before="50"/>
      </w:pPr>
      <w:r>
        <w:rPr>
          <w:rFonts w:ascii="Calibri" w:cs="Calibri" w:eastAsia="Calibri" w:hAnsi="Calibri"/>
          <w:color w:val="1A2E2B"/>
          <w:sz w:val="22"/>
          <w:szCs w:val="22"/>
        </w:rPr>
        <w:t xml:space="preserve">Money management &amp; financial literacy</w:t>
      </w:r>
    </w:p>
    <w:p>
      <w:pPr>
        <w:pStyle w:val="ListParagraph"/>
        <w:numPr>
          <w:ilvl w:val="0"/>
          <w:numId w:val="2"/>
        </w:numPr>
        <w:spacing w:after="50" w:before="50"/>
      </w:pPr>
      <w:r>
        <w:rPr>
          <w:rFonts w:ascii="Calibri" w:cs="Calibri" w:eastAsia="Calibri" w:hAnsi="Calibri"/>
          <w:color w:val="1A2E2B"/>
          <w:sz w:val="22"/>
          <w:szCs w:val="22"/>
        </w:rPr>
        <w:t xml:space="preserve">Communication &amp; relationship-building skills</w:t>
      </w:r>
    </w:p>
    <w:p>
      <w:pPr>
        <w:pStyle w:val="ListParagraph"/>
        <w:numPr>
          <w:ilvl w:val="0"/>
          <w:numId w:val="2"/>
        </w:numPr>
        <w:spacing w:after="50" w:before="50"/>
      </w:pPr>
      <w:r>
        <w:rPr>
          <w:rFonts w:ascii="Calibri" w:cs="Calibri" w:eastAsia="Calibri" w:hAnsi="Calibri"/>
          <w:color w:val="1A2E2B"/>
          <w:sz w:val="22"/>
          <w:szCs w:val="22"/>
        </w:rPr>
        <w:t xml:space="preserve">Creative arts &amp; media production</w:t>
      </w:r>
    </w:p>
    <w:p>
      <w:pPr>
        <w:pStyle w:val="ListParagraph"/>
        <w:numPr>
          <w:ilvl w:val="0"/>
          <w:numId w:val="2"/>
        </w:numPr>
        <w:spacing w:after="50" w:before="50"/>
      </w:pPr>
      <w:r>
        <w:rPr>
          <w:rFonts w:ascii="Calibri" w:cs="Calibri" w:eastAsia="Calibri" w:hAnsi="Calibri"/>
          <w:color w:val="1A2E2B"/>
          <w:sz w:val="22"/>
          <w:szCs w:val="22"/>
        </w:rPr>
        <w:t xml:space="preserve">Personal expression &amp; identity development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Who We Welcome</w:t>
      </w:r>
    </w:p>
    <w:p>
      <w:pPr>
        <w:pBdr>
          <w:left w:val="single" w:color="C4622D" w:sz="18" w:space="10"/>
        </w:pBdr>
        <w:spacing w:after="100" w:before="0"/>
      </w:pPr>
      <w:r>
        <w:rPr>
          <w:rFonts w:ascii="Georgia" w:cs="Georgia" w:eastAsia="Georgia" w:hAnsi="Georgia"/>
          <w:i/>
          <w:iCs/>
          <w:color w:val="C4622D"/>
          <w:sz w:val="20"/>
          <w:szCs w:val="20"/>
        </w:rPr>
        <w:t xml:space="preserve">Built for the homeschool community</w:t>
      </w:r>
    </w:p>
    <w:p>
      <w:pPr>
        <w:spacing w:after="80" w:before="80"/>
      </w:pPr>
      <w:r>
        <w:rPr>
          <w:rFonts w:ascii="Calibri" w:cs="Calibri" w:eastAsia="Calibri" w:hAnsi="Calibri"/>
          <w:color w:val="1A2E2B"/>
          <w:sz w:val="22"/>
          <w:szCs w:val="22"/>
        </w:rPr>
        <w:t xml:space="preserve">The Glade is built intentionally for homeschool and home-based learning families, with a particular focus on creating a genuinely inclusive environment for neurodiverse teens. We maintain a small, carefully selected staff that may include an ABA therapist or special education specialist — because real inclusion requires real expertise.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Family Partnership</w:t>
      </w:r>
    </w:p>
    <w:p>
      <w:pPr>
        <w:pBdr>
          <w:left w:val="single" w:color="C4622D" w:sz="18" w:space="10"/>
        </w:pBdr>
        <w:spacing w:after="100" w:before="0"/>
      </w:pPr>
      <w:r>
        <w:rPr>
          <w:rFonts w:ascii="Georgia" w:cs="Georgia" w:eastAsia="Georgia" w:hAnsi="Georgia"/>
          <w:i/>
          <w:iCs/>
          <w:color w:val="C4622D"/>
          <w:sz w:val="20"/>
          <w:szCs w:val="20"/>
        </w:rPr>
        <w:t xml:space="preserve">A community you join, not just a program you buy</w:t>
      </w:r>
    </w:p>
    <w:p>
      <w:pPr>
        <w:spacing w:after="80" w:before="80"/>
      </w:pPr>
      <w:r>
        <w:rPr>
          <w:rFonts w:ascii="Calibri" w:cs="Calibri" w:eastAsia="Calibri" w:hAnsi="Calibri"/>
          <w:color w:val="1A2E2B"/>
          <w:sz w:val="22"/>
          <w:szCs w:val="22"/>
        </w:rPr>
        <w:t xml:space="preserve">Every enrolled family commits to a small number of volunteer days each semester. Parents bring their expertise into The Glade — leading a workshop, mentoring a project, or helping with a communal meal. It keeps our community strong and our programming rich with real-world knowledge from real people.</w:t>
      </w:r>
    </w:p>
    <w:p>
      <w:pPr>
        <w:spacing w:after="80" w:before="80"/>
      </w:pPr>
      <w:r>
        <w:t xml:space="preserve"/>
      </w:r>
    </w:p>
    <w:p>
      <w:pPr>
        <w:pBdr>
          <w:top w:val="single" w:color="2A7D6F" w:sz="4" w:space="6"/>
        </w:pBdr>
        <w:spacing w:after="60" w:before="240"/>
        <w:jc w:val="center"/>
      </w:pPr>
      <w:r>
        <w:rPr>
          <w:rFonts w:ascii="Calibri" w:cs="Calibri" w:eastAsia="Calibri" w:hAnsi="Calibri"/>
          <w:i/>
          <w:iCs/>
          <w:color w:val="999999"/>
          <w:sz w:val="20"/>
          <w:szCs w:val="20"/>
        </w:rPr>
        <w:t xml:space="preserve">Part of the Cultivate ecosystem  •  </w:t>
      </w:r>
      <w:r>
        <w:rPr>
          <w:rFonts w:ascii="Calibri" w:cs="Calibri" w:eastAsia="Calibri" w:hAnsi="Calibri"/>
          <w:b/>
          <w:bCs/>
          <w:i/>
          <w:iCs/>
          <w:color w:val="C4622D"/>
          <w:sz w:val="20"/>
          <w:szCs w:val="20"/>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2026-05-07T19:20:05.313Z</dcterms:created>
  <dcterms:modified xsi:type="dcterms:W3CDTF">2026-05-07T19:20:05.327Z</dcterms:modified>
</cp:coreProperties>
</file>

<file path=docProps/custom.xml><?xml version="1.0" encoding="utf-8"?>
<Properties xmlns="http://schemas.openxmlformats.org/officeDocument/2006/custom-properties" xmlns:vt="http://schemas.openxmlformats.org/officeDocument/2006/docPropsVTypes"/>
</file>