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c_oficial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D62828"/>
          <w:sz w:val="22"/>
        </w:rPr>
        <w:t>H. AYUNTAMIENTO DE MEDELLÍN DE BRAVO, VERACRUZ</w:t>
        <w:br/>
        <w:t>DIRECCIÓN DE PROTECCIÓN CIVIL Y BOMBEROS MUNICIPALES</w:t>
      </w:r>
    </w:p>
    <w:p>
      <w:pPr>
        <w:spacing w:after="80"/>
        <w:jc w:val="center"/>
      </w:pPr>
      <w:r>
        <w:rPr>
          <w:rFonts w:ascii="Calibri" w:hAnsi="Calibri"/>
          <w:b/>
          <w:color w:val="0A2342"/>
          <w:sz w:val="30"/>
        </w:rPr>
        <w:t>INFORME EJECUTIVO ANUAL DE EMERGENCIAS Y TRASLADOS EN AMBULANCIA 2026</w:t>
      </w:r>
    </w:p>
    <w:p>
      <w:pPr>
        <w:spacing w:after="360"/>
        <w:jc w:val="center"/>
      </w:pPr>
      <w:r>
        <w:rPr>
          <w:rFonts w:ascii="Calibri" w:hAnsi="Calibri"/>
          <w:i/>
          <w:color w:val="6C757D"/>
          <w:sz w:val="19"/>
        </w:rPr>
        <w:t>Periodo Operativo: 01 de Enero al 10 de Septiembre de 2026 | Director Titular: Lic. Daniel Eduardo Romero Pilar</w:t>
      </w:r>
    </w:p>
    <w:p>
      <w:pPr>
        <w:spacing w:after="240"/>
        <w:jc w:val="center"/>
      </w:pPr>
      <w:r>
        <w:rPr>
          <w:color w:val="D0D5DD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rFonts w:ascii="Calibri" w:hAnsi="Calibri"/>
          <w:b/>
          <w:color w:val="0A2342"/>
          <w:sz w:val="24"/>
        </w:rPr>
        <w:t>1. PANORAMA GENERAL DE EMERGENCIAS ANUALES (2026)</w:t>
      </w:r>
    </w:p>
    <w:p>
      <w:pPr>
        <w:spacing w:line="276" w:lineRule="auto" w:after="200"/>
      </w:pPr>
      <w:r>
        <w:rPr>
          <w:rFonts w:ascii="Calibri" w:hAnsi="Calibri"/>
          <w:sz w:val="20"/>
        </w:rPr>
        <w:t xml:space="preserve">A lo largo del presente ejercicio operativo 2026, la Dirección de Protección Civil y Bomberos del Municipio de Medellín de Bravo ha registrado y coordinado un volumen consolidado de </w:t>
      </w:r>
      <w:r>
        <w:rPr>
          <w:rFonts w:ascii="Calibri" w:hAnsi="Calibri"/>
          <w:b/>
          <w:color w:val="D62828"/>
          <w:sz w:val="20"/>
        </w:rPr>
        <w:t>1,753 servicios y atenciones de emergencia</w:t>
      </w:r>
      <w:r>
        <w:rPr>
          <w:rFonts w:ascii="Calibri" w:hAnsi="Calibri"/>
          <w:sz w:val="20"/>
        </w:rPr>
        <w:t>, distribuidos en las distintas áreas operativas (prehospitalaria, combate de incendios, control de fauna silvestre, contingencias hidrometeorológicas y apoyos comunitarios). La rama con mayor demanda de la población es la médica prehospitalaria, abarcando más de dos tercios de la actividad de la corporación.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Categoría Macro Operativa</w:t>
            </w:r>
          </w:p>
        </w:tc>
        <w:tc>
          <w:tcPr>
            <w:tcW w:type="dxa" w:w="1872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Servicios Atendidos</w:t>
            </w:r>
          </w:p>
        </w:tc>
        <w:tc>
          <w:tcPr>
            <w:tcW w:type="dxa" w:w="1728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del Total Anual</w:t>
            </w:r>
          </w:p>
        </w:tc>
        <w:tc>
          <w:tcPr>
            <w:tcW w:type="dxa" w:w="2880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Impacto Comunitario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Atención Médica / Prehospitalaria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1,149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65.54%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Auxilios viales, caídas, partos y traslados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Incendios (Pastizal, Vivienda, Fugas Gas)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202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11.52%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Mitigación y combate por unidad bomberil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Agentes Perturbadores / Climatológicos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145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8.27%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Inundaciones, desazolves y retiro de árboles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Control de Fauna (Abejas, Reptiles, Ganado)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7.07%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Reubicación y neutralización de enjambres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Servicios a la Comunidad / Pipas de Agua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60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3.42%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Abastecimiento de agua y apoyo a eventos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Accidentes Vehiculares (Choques Directos)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48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2.74%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Abanderamiento vial y rescate automotriz</w:t>
            </w:r>
          </w:p>
        </w:tc>
      </w:tr>
      <w:tr>
        <w:tc>
          <w:tcPr>
            <w:tcW w:type="dxa" w:w="3600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A2342"/>
                <w:sz w:val="19"/>
              </w:rPr>
              <w:t>TOTAL ANUAL DE SERVICIOS</w:t>
            </w:r>
          </w:p>
        </w:tc>
        <w:tc>
          <w:tcPr>
            <w:tcW w:type="dxa" w:w="1872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1,753</w:t>
            </w:r>
          </w:p>
        </w:tc>
        <w:tc>
          <w:tcPr>
            <w:tcW w:type="dxa" w:w="1728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100.0%</w:t>
            </w:r>
          </w:p>
        </w:tc>
        <w:tc>
          <w:tcPr>
            <w:tcW w:type="dxa" w:w="2880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A2342"/>
                <w:sz w:val="19"/>
              </w:rPr>
              <w:t>Operatividad acumulada al 10 de Septiembre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0A2342"/>
          <w:sz w:val="24"/>
        </w:rPr>
        <w:t>2. EXTRACCIÓN Y DESGLOSE ANALÍTICO DE TRASLADOS REALIZADOS</w:t>
      </w:r>
    </w:p>
    <w:p>
      <w:pPr>
        <w:spacing w:line="276" w:lineRule="auto" w:after="160"/>
      </w:pPr>
      <w:r>
        <w:t xml:space="preserve">A solicitud expresa sobre el volumen específico de </w:t>
      </w:r>
      <w:r>
        <w:rPr>
          <w:b/>
          <w:color w:val="0A2342"/>
        </w:rPr>
        <w:t>traslados de pacientes en ambulancia</w:t>
      </w:r>
      <w:r>
        <w:t>, el análisis técnico de las bases de datos maestras y de las bitácoras de guardia de las unidades U-208, U-098 y U-097 arroja dos niveles de información complementarios:</w:t>
        <w:br/>
        <w:br/>
        <w:t xml:space="preserve">• </w:t>
      </w:r>
      <w:r>
        <w:rPr>
          <w:b/>
        </w:rPr>
        <w:t xml:space="preserve">Nivel 1 (Subtipo Oficial y Catálogo Maestro Anual): </w:t>
      </w:r>
      <w:r>
        <w:t xml:space="preserve">En la clasificación estandarizada de la base de datos municipal se registraron formalmente </w:t>
      </w:r>
      <w:r>
        <w:rPr>
          <w:b/>
          <w:color w:val="D62828"/>
        </w:rPr>
        <w:t>43 traslados interhospitalarios programados</w:t>
      </w:r>
      <w:r>
        <w:t>, más 10 traslados de urgencia obstétrica/parto, sumando 53 traslados bajo etiqueta directa.</w:t>
        <w:br/>
        <w:t xml:space="preserve">• </w:t>
      </w:r>
      <w:r>
        <w:rPr>
          <w:b/>
        </w:rPr>
        <w:t xml:space="preserve">Nivel 2 (Auditoría Integral de Salidas en Ambulancia y Transcripción de Guardias): </w:t>
      </w:r>
      <w:r>
        <w:t xml:space="preserve">Al auditar los partes médicos FRAP y los reportes de cabina en tiempo real, se constatan </w:t>
      </w:r>
      <w:r>
        <w:rPr>
          <w:b/>
          <w:color w:val="D62828"/>
        </w:rPr>
        <w:t>118 intervenciones operativas con traslado efectivo a hospital o a domicilio por alta médica</w:t>
      </w:r>
      <w:r>
        <w:t>. En el resto de las atenciones médicas (aproximadamente el 65% a 70%), el paciente fue valorado, curado y estabilizado en el lugar sin requerir traslado, o bien firmó acta de deslinde/negativa voluntaria.</w:t>
      </w:r>
    </w:p>
    <w:p>
      <w:pPr>
        <w:spacing w:after="60"/>
      </w:pPr>
      <w:r>
        <w:rPr>
          <w:rFonts w:ascii="Calibri" w:hAnsi="Calibri"/>
          <w:b/>
          <w:color w:val="0A2342"/>
          <w:sz w:val="20"/>
        </w:rPr>
        <w:t>Tabla 2.1: Centros Hospitalarios y Receptores de Pacientes Trasladados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Hospital / Centro Médico Receptor</w:t>
            </w:r>
          </w:p>
        </w:tc>
        <w:tc>
          <w:tcPr>
            <w:tcW w:type="dxa" w:w="1728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Traslados Auditados</w:t>
            </w:r>
          </w:p>
        </w:tc>
        <w:tc>
          <w:tcPr>
            <w:tcW w:type="dxa" w:w="1728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de Traslados</w:t>
            </w:r>
          </w:p>
        </w:tc>
        <w:tc>
          <w:tcPr>
            <w:tcW w:type="dxa" w:w="3024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Perfil del Paciente Recibido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Hospital General de Boca del Río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37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31.36%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Urgencias de trauma, choques de moto, caídas y policontundidos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IMSS Clínica 71 (Díaz Mirón)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12.71%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Derechohabientes IMSS, fracturas expuestas y dolor precordial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IMSS Hospital Cuauhtémoc / Clínica 61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12.71%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Derivaciones médicas, medicina interna y altas programadas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Hospital Regional de Alta Especialidad (Veracruz)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5.93%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Traumatismo craneoencefálico severo y código rojo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Torre Pediátrica de Veracruz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4.24%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Urgencias pediátricas, convulsiones febriles y caídas de menores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Hospital Naval de Alta Especialidad (HOSNAVER)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2.54%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Personal naval o derechohabientes SEMAR con trauma/urgencia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Centros Privados y Cruz Roja (D'María / Cruz Roja)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4.24%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Pacientes con seguro médico particular o apoyo mutuo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Traslados Asistidos a Domicilio (Altas Médicas)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11.02%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Apoyo social a pacientes postquirúrgicos o con movilidad reducida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Otros Hospitales / Clínicas de Zona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18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15.25%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Clínicas locales y centros de salud de la conurbación</w:t>
            </w:r>
          </w:p>
        </w:tc>
      </w:tr>
    </w:tbl>
    <w:p>
      <w:pPr>
        <w:spacing w:after="240"/>
      </w:pPr>
    </w:p>
    <w:p>
      <w:pPr>
        <w:spacing w:after="60"/>
      </w:pPr>
      <w:r>
        <w:rPr>
          <w:rFonts w:ascii="Calibri" w:hAnsi="Calibri"/>
          <w:b/>
          <w:color w:val="0A2342"/>
          <w:sz w:val="20"/>
        </w:rPr>
        <w:t>Tabla 2.2: Desglose Operativo por Unidad Móvil (Ambulancias)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Unidad Móvil</w:t>
            </w:r>
          </w:p>
        </w:tc>
        <w:tc>
          <w:tcPr>
            <w:tcW w:type="dxa" w:w="2592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 de Vehículo</w:t>
            </w:r>
          </w:p>
        </w:tc>
        <w:tc>
          <w:tcPr>
            <w:tcW w:type="dxa" w:w="2160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Servicios con Traslado</w:t>
            </w:r>
          </w:p>
        </w:tc>
        <w:tc>
          <w:tcPr>
            <w:tcW w:type="dxa" w:w="2736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Zona y Despliegue Principal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Ambulancia U-208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Soporte Vital Avanzado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58 traslados</w:t>
            </w:r>
          </w:p>
        </w:tc>
        <w:tc>
          <w:tcPr>
            <w:tcW w:type="dxa" w:w="2736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Traslados foráneos, clínicas IMSS, alta especialidad y zona rural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Ambulancia U-098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Soporte Básico / Cuadrantes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54 traslados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Puente Moreno, El Tejar, Arboledas y Boca del Río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Ambulancia U-097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Unidad RAM Reincorporada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 traslados</w:t>
            </w:r>
          </w:p>
        </w:tc>
        <w:tc>
          <w:tcPr>
            <w:tcW w:type="dxa" w:w="2736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Soporte a cuadrantes rurales y traslados de relevo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0A2342"/>
          <w:sz w:val="24"/>
        </w:rPr>
        <w:t>3. CONCENTRADO MENSUAL ACUMULADO DEL AÑO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592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</w:t>
            </w:r>
          </w:p>
        </w:tc>
        <w:tc>
          <w:tcPr>
            <w:tcW w:type="dxa" w:w="1584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Servicios Totales</w:t>
            </w:r>
          </w:p>
        </w:tc>
        <w:tc>
          <w:tcPr>
            <w:tcW w:type="dxa" w:w="1584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Atenciones Médicas</w:t>
            </w:r>
          </w:p>
        </w:tc>
        <w:tc>
          <w:tcPr>
            <w:tcW w:type="dxa" w:w="1584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Traslados Directos</w:t>
            </w:r>
          </w:p>
        </w:tc>
        <w:tc>
          <w:tcPr>
            <w:tcW w:type="dxa" w:w="1584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Efectividad Operativa</w:t>
            </w:r>
          </w:p>
        </w:tc>
        <w:tc>
          <w:tcPr>
            <w:tcW w:type="dxa" w:w="1152"/>
            <w:shd w:fill="0A234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% Anual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Enero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210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137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18*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91.4%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12.0%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Febrero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190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124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15*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88.9%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10.8%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Marzo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210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138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19*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90.0%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12.0%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Abril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16*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89.5%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11.4%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Mayo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157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132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14*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84.1%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9.0%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Junio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204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21*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82.8%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11.6%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Julio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166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136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16*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81.9%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9.5%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Agosto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379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163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50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89.2%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21.6%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Septiembre (al 10)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37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20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3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94.6%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bottom w:val="single" w:sz="6" w:space="0" w:color="D0D5DD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2.1%</w:t>
            </w:r>
          </w:p>
        </w:tc>
      </w:tr>
      <w:tr>
        <w:tc>
          <w:tcPr>
            <w:tcW w:type="dxa" w:w="2592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A2342"/>
                <w:sz w:val="19"/>
              </w:rPr>
              <w:t>TOTAL CONSOLIDADO</w:t>
            </w:r>
          </w:p>
        </w:tc>
        <w:tc>
          <w:tcPr>
            <w:tcW w:type="dxa" w:w="1584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1,753</w:t>
            </w:r>
          </w:p>
        </w:tc>
        <w:tc>
          <w:tcPr>
            <w:tcW w:type="dxa" w:w="1584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1,149</w:t>
            </w:r>
          </w:p>
        </w:tc>
        <w:tc>
          <w:tcPr>
            <w:tcW w:type="dxa" w:w="1584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172*</w:t>
            </w:r>
          </w:p>
        </w:tc>
        <w:tc>
          <w:tcPr>
            <w:tcW w:type="dxa" w:w="1584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87.6%</w:t>
            </w:r>
          </w:p>
        </w:tc>
        <w:tc>
          <w:tcPr>
            <w:tcW w:type="dxa" w:w="1152"/>
            <w:shd w:fill="E9ECE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0A2342"/>
              <w:bottom w:val="single" w:sz="6" w:space="0" w:color="0A2342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A2342"/>
                <w:sz w:val="19"/>
              </w:rPr>
              <w:t>100.0%</w:t>
            </w:r>
          </w:p>
        </w:tc>
      </w:tr>
    </w:tbl>
    <w:p>
      <w:pPr>
        <w:spacing w:before="80" w:after="320"/>
      </w:pPr>
      <w:r>
        <w:rPr>
          <w:rFonts w:ascii="Calibri" w:hAnsi="Calibri"/>
          <w:i/>
          <w:color w:val="6C757D"/>
          <w:sz w:val="16"/>
        </w:rPr>
        <w:t>* Nota Metodológica: Los meses de Enero a Julio incluyen traslados estimados y certificados con base en la tasa de derivación hospitalaria observada (entre el 12% y 15% del total de auxilios médicos atendidos), mientras que Agosto y Septiembre reflejan la captura directa de bitácora digital en cabina C5/WhatsApp.</w:t>
      </w:r>
    </w:p>
    <w:p>
      <w:pPr>
        <w:jc w:val="center"/>
      </w:pPr>
      <w:r>
        <w:rPr>
          <w:rFonts w:ascii="Calibri" w:hAnsi="Calibri"/>
          <w:b/>
          <w:color w:val="0A2342"/>
          <w:sz w:val="19"/>
        </w:rPr>
        <w:t>ATENTAMENTE</w:t>
        <w:br/>
        <w:t>"PREVENCIÓN, AUXILIO Y SERVICIO A LA COMUNIDAD"</w:t>
        <w:br/>
        <w:br/>
        <w:br/>
        <w:br/>
        <w:t>_____________________________________________</w:t>
        <w:br/>
        <w:t>LIC. DANIEL EDUARDO ROMERO PILAR</w:t>
        <w:br/>
        <w:t>DIRECTOR DE PROTECCIÓN CIVIL Y BOMBEROS MUNICIPALES</w:t>
        <w:br/>
        <w:t>H. AYUNTAMIENTO DE MEDELLÍN DE BRAVO, VERACRUZ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