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10" w:rsidRPr="00657009" w:rsidRDefault="000B7810" w:rsidP="00657009">
      <w:pPr>
        <w:spacing w:after="0" w:line="240" w:lineRule="auto"/>
        <w:jc w:val="center"/>
        <w:rPr>
          <w:rFonts w:ascii="Times New Roman" w:hAnsi="Times New Roman"/>
          <w:sz w:val="24"/>
          <w:szCs w:val="24"/>
        </w:rPr>
      </w:pPr>
    </w:p>
    <w:p w:rsidR="000B7810" w:rsidRPr="00657009" w:rsidRDefault="000B7810" w:rsidP="00657009">
      <w:pPr>
        <w:spacing w:after="0" w:line="240" w:lineRule="auto"/>
        <w:jc w:val="center"/>
        <w:rPr>
          <w:rFonts w:ascii="Times New Roman" w:hAnsi="Times New Roman"/>
          <w:sz w:val="24"/>
          <w:szCs w:val="24"/>
        </w:rPr>
      </w:pPr>
    </w:p>
    <w:p w:rsidR="008E076C" w:rsidRPr="00657009" w:rsidRDefault="008E076C" w:rsidP="00657009">
      <w:pPr>
        <w:spacing w:after="0" w:line="240" w:lineRule="auto"/>
        <w:jc w:val="center"/>
        <w:rPr>
          <w:rFonts w:ascii="Times New Roman" w:hAnsi="Times New Roman"/>
          <w:sz w:val="24"/>
          <w:szCs w:val="24"/>
        </w:rPr>
      </w:pPr>
    </w:p>
    <w:p w:rsidR="007D1E76" w:rsidRPr="00E74967" w:rsidRDefault="00295DEE" w:rsidP="007D1E76">
      <w:pPr>
        <w:spacing w:after="0" w:line="240" w:lineRule="auto"/>
        <w:jc w:val="center"/>
        <w:rPr>
          <w:rFonts w:cs="Calibri"/>
          <w:b/>
          <w:sz w:val="28"/>
          <w:szCs w:val="28"/>
        </w:rPr>
      </w:pPr>
      <w:hyperlink r:id="rId7" w:history="1">
        <w:r w:rsidR="007D1E76" w:rsidRPr="00E74967">
          <w:rPr>
            <w:rStyle w:val="Hipervnculo"/>
            <w:rFonts w:cs="Calibri"/>
            <w:b/>
            <w:sz w:val="28"/>
            <w:szCs w:val="28"/>
          </w:rPr>
          <w:t>NOTAS DE GESTIÓN ADMINISTRATIVA</w:t>
        </w:r>
      </w:hyperlink>
    </w:p>
    <w:p w:rsidR="007D1E76" w:rsidRPr="00E74967" w:rsidRDefault="007D1E76" w:rsidP="007D1E76">
      <w:pPr>
        <w:spacing w:after="0" w:line="240" w:lineRule="auto"/>
        <w:jc w:val="both"/>
        <w:rPr>
          <w:rFonts w:cs="Calibri"/>
        </w:rPr>
      </w:pPr>
    </w:p>
    <w:p w:rsidR="00C10139" w:rsidRPr="00C10139" w:rsidRDefault="00C10139" w:rsidP="00C10139">
      <w:pPr>
        <w:spacing w:after="0" w:line="240" w:lineRule="auto"/>
        <w:jc w:val="both"/>
        <w:rPr>
          <w:rFonts w:asciiTheme="minorHAnsi" w:hAnsiTheme="minorHAnsi" w:cs="Arial"/>
        </w:rPr>
      </w:pPr>
      <w:r w:rsidRPr="00C10139">
        <w:rPr>
          <w:rFonts w:asciiTheme="minorHAnsi" w:hAnsiTheme="minorHAnsi" w:cs="Arial"/>
        </w:rPr>
        <w:t>Los Estados Financieros de los entes públicos, proveen de información financiera a los principales usuarios de la misma, al Congreso y a los ciudadanos.</w:t>
      </w:r>
      <w:r w:rsidRPr="00C10139">
        <w:rPr>
          <w:rFonts w:asciiTheme="minorHAnsi" w:hAnsiTheme="minorHAnsi" w:cs="Arial"/>
        </w:rPr>
        <w:tab/>
      </w:r>
      <w:r w:rsidRPr="00C10139">
        <w:rPr>
          <w:rFonts w:asciiTheme="minorHAnsi" w:hAnsiTheme="minorHAnsi" w:cs="Arial"/>
        </w:rPr>
        <w:tab/>
      </w:r>
      <w:r w:rsidRPr="00C10139">
        <w:rPr>
          <w:rFonts w:asciiTheme="minorHAnsi" w:hAnsiTheme="minorHAnsi" w:cs="Arial"/>
        </w:rPr>
        <w:tab/>
      </w:r>
    </w:p>
    <w:p w:rsidR="00C10139" w:rsidRPr="00C10139" w:rsidRDefault="00C10139" w:rsidP="00C10139">
      <w:pPr>
        <w:spacing w:after="0" w:line="240" w:lineRule="auto"/>
        <w:jc w:val="both"/>
        <w:rPr>
          <w:rFonts w:asciiTheme="minorHAnsi" w:hAnsiTheme="minorHAnsi" w:cs="Arial"/>
        </w:rPr>
      </w:pPr>
    </w:p>
    <w:p w:rsidR="00C10139" w:rsidRPr="00C10139" w:rsidRDefault="00C10139" w:rsidP="00C10139">
      <w:pPr>
        <w:spacing w:after="0" w:line="240" w:lineRule="auto"/>
        <w:jc w:val="both"/>
        <w:rPr>
          <w:rFonts w:asciiTheme="minorHAnsi" w:hAnsiTheme="minorHAnsi" w:cs="Arial"/>
        </w:rPr>
      </w:pPr>
      <w:r w:rsidRPr="00C10139">
        <w:rPr>
          <w:rFonts w:asciiTheme="minorHAnsi" w:hAnsiTheme="minorHAnsi" w:cs="Arial"/>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mismos y sus particularidades.</w:t>
      </w:r>
      <w:r w:rsidRPr="00C10139">
        <w:rPr>
          <w:rFonts w:asciiTheme="minorHAnsi" w:hAnsiTheme="minorHAnsi" w:cs="Arial"/>
        </w:rPr>
        <w:tab/>
      </w:r>
      <w:r w:rsidRPr="00C10139">
        <w:rPr>
          <w:rFonts w:asciiTheme="minorHAnsi" w:hAnsiTheme="minorHAnsi" w:cs="Arial"/>
        </w:rPr>
        <w:tab/>
      </w:r>
      <w:r w:rsidRPr="00C10139">
        <w:rPr>
          <w:rFonts w:asciiTheme="minorHAnsi" w:hAnsiTheme="minorHAnsi" w:cs="Arial"/>
        </w:rPr>
        <w:tab/>
      </w:r>
    </w:p>
    <w:p w:rsidR="00C10139" w:rsidRPr="00C10139" w:rsidRDefault="00C10139" w:rsidP="00C10139">
      <w:pPr>
        <w:spacing w:after="0" w:line="240" w:lineRule="auto"/>
        <w:jc w:val="both"/>
        <w:rPr>
          <w:rFonts w:asciiTheme="minorHAnsi" w:hAnsiTheme="minorHAnsi" w:cs="Arial"/>
        </w:rPr>
      </w:pPr>
    </w:p>
    <w:p w:rsidR="00C10139" w:rsidRPr="00C10139" w:rsidRDefault="00C10139" w:rsidP="00C10139">
      <w:pPr>
        <w:spacing w:after="0" w:line="240" w:lineRule="auto"/>
        <w:jc w:val="both"/>
        <w:rPr>
          <w:rFonts w:asciiTheme="minorHAnsi" w:hAnsiTheme="minorHAnsi" w:cs="Arial"/>
        </w:rPr>
      </w:pPr>
      <w:r w:rsidRPr="00C10139">
        <w:rPr>
          <w:rFonts w:asciiTheme="minorHAnsi" w:hAnsiTheme="minorHAnsi" w:cs="Arial"/>
        </w:rPr>
        <w:t>De esta manera, se informa y explica la respuesta del gobierno a las condiciones relacionadas con la información financiera de cada período de gestión; además, de exponer aquellas políticas que podrían afectar la toma de decisiones en períodos posteriores.</w:t>
      </w:r>
      <w:r w:rsidRPr="00C10139">
        <w:rPr>
          <w:rFonts w:asciiTheme="minorHAnsi" w:hAnsiTheme="minorHAnsi" w:cs="Arial"/>
        </w:rPr>
        <w:tab/>
      </w:r>
      <w:r w:rsidRPr="00C10139">
        <w:rPr>
          <w:rFonts w:asciiTheme="minorHAnsi" w:hAnsiTheme="minorHAnsi" w:cs="Arial"/>
        </w:rPr>
        <w:tab/>
      </w:r>
      <w:r w:rsidRPr="00C10139">
        <w:rPr>
          <w:rFonts w:asciiTheme="minorHAnsi" w:hAnsiTheme="minorHAnsi" w:cs="Arial"/>
        </w:rPr>
        <w:tab/>
      </w:r>
    </w:p>
    <w:p w:rsidR="00C10139" w:rsidRPr="00C10139" w:rsidRDefault="00C10139" w:rsidP="00C10139">
      <w:pPr>
        <w:pStyle w:val="Prrafodelista"/>
        <w:spacing w:after="0" w:line="240" w:lineRule="auto"/>
        <w:jc w:val="both"/>
        <w:rPr>
          <w:rFonts w:asciiTheme="minorHAnsi" w:hAnsiTheme="minorHAnsi" w:cs="Arial"/>
        </w:rPr>
      </w:pPr>
    </w:p>
    <w:p w:rsidR="00C10139" w:rsidRPr="00C10139" w:rsidRDefault="00C10139" w:rsidP="00C10139">
      <w:pPr>
        <w:pStyle w:val="Prrafodelista"/>
        <w:numPr>
          <w:ilvl w:val="0"/>
          <w:numId w:val="1"/>
        </w:numPr>
        <w:spacing w:after="0" w:line="240" w:lineRule="auto"/>
        <w:jc w:val="both"/>
        <w:rPr>
          <w:rFonts w:asciiTheme="minorHAnsi" w:hAnsiTheme="minorHAnsi" w:cs="Arial"/>
        </w:rPr>
      </w:pPr>
      <w:r w:rsidRPr="00C10139">
        <w:rPr>
          <w:rFonts w:asciiTheme="minorHAnsi" w:hAnsiTheme="minorHAnsi" w:cs="Arial"/>
        </w:rPr>
        <w:t>Las notas de gestión administrativa deben contener los siguientes puntos:</w:t>
      </w:r>
    </w:p>
    <w:p w:rsidR="00C10139" w:rsidRPr="00C10139" w:rsidRDefault="00C10139" w:rsidP="00C10139">
      <w:pPr>
        <w:spacing w:after="0" w:line="240" w:lineRule="auto"/>
        <w:jc w:val="both"/>
        <w:rPr>
          <w:rFonts w:asciiTheme="minorHAnsi" w:hAnsiTheme="minorHAnsi" w:cs="Arial"/>
          <w:b/>
        </w:rPr>
      </w:pPr>
    </w:p>
    <w:p w:rsidR="00C10139" w:rsidRPr="00C10139" w:rsidRDefault="00C10139" w:rsidP="00C10139">
      <w:pPr>
        <w:jc w:val="both"/>
        <w:rPr>
          <w:rFonts w:asciiTheme="minorHAnsi" w:hAnsiTheme="minorHAnsi" w:cs="Arial"/>
          <w:b/>
        </w:rPr>
      </w:pPr>
    </w:p>
    <w:p w:rsidR="00C10139" w:rsidRPr="00C10139" w:rsidRDefault="00C10139" w:rsidP="00C10139">
      <w:pPr>
        <w:jc w:val="both"/>
        <w:rPr>
          <w:rFonts w:asciiTheme="minorHAnsi" w:hAnsiTheme="minorHAnsi" w:cs="Arial"/>
        </w:rPr>
      </w:pPr>
      <w:r w:rsidRPr="00C10139">
        <w:rPr>
          <w:rFonts w:asciiTheme="minorHAnsi" w:hAnsiTheme="minorHAnsi" w:cs="Arial"/>
          <w:b/>
        </w:rPr>
        <w:t>1. Introducción:</w:t>
      </w:r>
    </w:p>
    <w:p w:rsidR="00C10139" w:rsidRPr="00C10139" w:rsidRDefault="00C10139" w:rsidP="00C10139">
      <w:pPr>
        <w:jc w:val="both"/>
        <w:rPr>
          <w:rFonts w:asciiTheme="minorHAnsi" w:hAnsiTheme="minorHAnsi" w:cs="Arial"/>
        </w:rPr>
      </w:pPr>
      <w:r w:rsidRPr="00C10139">
        <w:rPr>
          <w:rFonts w:asciiTheme="minorHAnsi" w:hAnsiTheme="minorHAnsi" w:cs="Arial"/>
        </w:rPr>
        <w:t>Programas Educativos de Alfabetización y Educación Básica para Adultos dirigidos a las personas mayores de 15 años</w:t>
      </w:r>
    </w:p>
    <w:p w:rsidR="00C10139" w:rsidRPr="00C10139" w:rsidRDefault="00C10139" w:rsidP="00C10139">
      <w:pPr>
        <w:jc w:val="both"/>
        <w:rPr>
          <w:rFonts w:asciiTheme="minorHAnsi" w:hAnsiTheme="minorHAnsi" w:cs="Arial"/>
          <w:b/>
        </w:rPr>
      </w:pPr>
      <w:r w:rsidRPr="00C10139">
        <w:rPr>
          <w:rFonts w:asciiTheme="minorHAnsi" w:hAnsiTheme="minorHAnsi" w:cs="Arial"/>
          <w:b/>
        </w:rPr>
        <w:t>2. Describir el panorama Económico y Financiero</w:t>
      </w:r>
    </w:p>
    <w:p w:rsidR="00C10139" w:rsidRPr="00C10139" w:rsidRDefault="00C10139" w:rsidP="00C10139">
      <w:pPr>
        <w:jc w:val="both"/>
        <w:rPr>
          <w:rFonts w:asciiTheme="minorHAnsi" w:hAnsiTheme="minorHAnsi" w:cs="Arial"/>
        </w:rPr>
      </w:pPr>
      <w:r w:rsidRPr="00C10139">
        <w:rPr>
          <w:rFonts w:asciiTheme="minorHAnsi" w:hAnsiTheme="minorHAnsi" w:cs="Arial"/>
        </w:rPr>
        <w:t>Cumplimiento de las metas inicialmente planeadas, mediante el presupuesto asignado</w:t>
      </w:r>
    </w:p>
    <w:p w:rsidR="00C10139" w:rsidRPr="00C10139" w:rsidRDefault="00C10139" w:rsidP="00C10139">
      <w:pPr>
        <w:jc w:val="both"/>
        <w:rPr>
          <w:rFonts w:asciiTheme="minorHAnsi" w:hAnsiTheme="minorHAnsi" w:cs="Arial"/>
          <w:b/>
        </w:rPr>
      </w:pPr>
      <w:r w:rsidRPr="00C10139">
        <w:rPr>
          <w:rFonts w:asciiTheme="minorHAnsi" w:hAnsiTheme="minorHAnsi" w:cs="Arial"/>
          <w:b/>
        </w:rPr>
        <w:t>3. Autorización e Historia:</w:t>
      </w:r>
    </w:p>
    <w:p w:rsidR="00C10139" w:rsidRPr="00C10139" w:rsidRDefault="00C10139" w:rsidP="00C10139">
      <w:pPr>
        <w:jc w:val="both"/>
        <w:rPr>
          <w:rFonts w:asciiTheme="minorHAnsi" w:hAnsiTheme="minorHAnsi" w:cs="Arial"/>
        </w:rPr>
      </w:pPr>
      <w:r w:rsidRPr="00C10139">
        <w:rPr>
          <w:rFonts w:asciiTheme="minorHAnsi" w:hAnsiTheme="minorHAnsi" w:cs="Arial"/>
        </w:rPr>
        <w:t>a) Fecha de creación del ente.</w:t>
      </w:r>
    </w:p>
    <w:p w:rsidR="00C10139" w:rsidRPr="00C10139" w:rsidRDefault="00C10139" w:rsidP="00C10139">
      <w:pPr>
        <w:jc w:val="both"/>
        <w:rPr>
          <w:rFonts w:asciiTheme="minorHAnsi" w:hAnsiTheme="minorHAnsi" w:cs="Arial"/>
        </w:rPr>
      </w:pPr>
      <w:r w:rsidRPr="00C10139">
        <w:rPr>
          <w:rFonts w:asciiTheme="minorHAnsi" w:hAnsiTheme="minorHAnsi" w:cs="Arial"/>
        </w:rPr>
        <w:t xml:space="preserve">27 de </w:t>
      </w:r>
      <w:proofErr w:type="gramStart"/>
      <w:r w:rsidRPr="00C10139">
        <w:rPr>
          <w:rFonts w:asciiTheme="minorHAnsi" w:hAnsiTheme="minorHAnsi" w:cs="Arial"/>
        </w:rPr>
        <w:t>Noviembre</w:t>
      </w:r>
      <w:proofErr w:type="gramEnd"/>
      <w:r w:rsidRPr="00C10139">
        <w:rPr>
          <w:rFonts w:asciiTheme="minorHAnsi" w:hAnsiTheme="minorHAnsi" w:cs="Arial"/>
        </w:rPr>
        <w:t xml:space="preserve"> del 2012. Decreto Gubernativo Número 4</w:t>
      </w:r>
    </w:p>
    <w:p w:rsidR="00C10139" w:rsidRPr="00C10139" w:rsidRDefault="00C10139" w:rsidP="00C10139">
      <w:pPr>
        <w:jc w:val="both"/>
        <w:rPr>
          <w:rFonts w:asciiTheme="minorHAnsi" w:hAnsiTheme="minorHAnsi" w:cs="Arial"/>
        </w:rPr>
      </w:pPr>
      <w:r w:rsidRPr="00C10139">
        <w:rPr>
          <w:rFonts w:asciiTheme="minorHAnsi" w:hAnsiTheme="minorHAnsi" w:cs="Arial"/>
        </w:rPr>
        <w:t>b) Principales cambios en su estructura.</w:t>
      </w:r>
    </w:p>
    <w:p w:rsidR="00C10139" w:rsidRPr="00C10139" w:rsidRDefault="00C10139" w:rsidP="00C10139">
      <w:pPr>
        <w:jc w:val="both"/>
        <w:rPr>
          <w:rFonts w:asciiTheme="minorHAnsi" w:hAnsiTheme="minorHAnsi" w:cs="Arial"/>
        </w:rPr>
      </w:pPr>
      <w:r w:rsidRPr="00C10139">
        <w:rPr>
          <w:rFonts w:asciiTheme="minorHAnsi" w:hAnsiTheme="minorHAnsi" w:cs="Arial"/>
        </w:rPr>
        <w:t>Descentralización de Recursos Financieros, Humanos y Materiales por parte de la Federación al Instituto.</w:t>
      </w:r>
    </w:p>
    <w:p w:rsidR="00C10139" w:rsidRPr="00C10139" w:rsidRDefault="00C10139" w:rsidP="00C10139">
      <w:pPr>
        <w:jc w:val="both"/>
        <w:rPr>
          <w:rFonts w:asciiTheme="minorHAnsi" w:hAnsiTheme="minorHAnsi" w:cs="Arial"/>
          <w:b/>
        </w:rPr>
      </w:pPr>
      <w:r w:rsidRPr="00C10139">
        <w:rPr>
          <w:rFonts w:asciiTheme="minorHAnsi" w:hAnsiTheme="minorHAnsi" w:cs="Arial"/>
          <w:b/>
        </w:rPr>
        <w:t>4. Organización y Objeto Social:</w:t>
      </w:r>
    </w:p>
    <w:p w:rsidR="00C10139" w:rsidRPr="00C10139" w:rsidRDefault="00C10139" w:rsidP="00C10139">
      <w:pPr>
        <w:jc w:val="both"/>
        <w:rPr>
          <w:rFonts w:asciiTheme="minorHAnsi" w:hAnsiTheme="minorHAnsi" w:cs="Arial"/>
        </w:rPr>
      </w:pPr>
      <w:r w:rsidRPr="00C10139">
        <w:rPr>
          <w:rFonts w:asciiTheme="minorHAnsi" w:hAnsiTheme="minorHAnsi" w:cs="Arial"/>
        </w:rPr>
        <w:t>a) Objeto social.</w:t>
      </w:r>
    </w:p>
    <w:p w:rsidR="00C10139" w:rsidRPr="00C10139" w:rsidRDefault="00C10139" w:rsidP="00C10139">
      <w:pPr>
        <w:tabs>
          <w:tab w:val="left" w:leader="underscore" w:pos="9923"/>
        </w:tabs>
        <w:jc w:val="both"/>
        <w:rPr>
          <w:rFonts w:asciiTheme="minorHAnsi" w:hAnsiTheme="minorHAnsi" w:cs="Arial"/>
        </w:rPr>
      </w:pPr>
      <w:r w:rsidRPr="00C10139">
        <w:rPr>
          <w:rFonts w:asciiTheme="minorHAnsi" w:hAnsiTheme="minorHAnsi" w:cs="Arial"/>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rsidR="00C10139" w:rsidRPr="00C10139" w:rsidRDefault="00C10139" w:rsidP="00C10139">
      <w:pPr>
        <w:jc w:val="both"/>
        <w:rPr>
          <w:rFonts w:asciiTheme="minorHAnsi" w:hAnsiTheme="minorHAnsi" w:cs="Arial"/>
        </w:rPr>
      </w:pPr>
      <w:r w:rsidRPr="00C10139">
        <w:rPr>
          <w:rFonts w:asciiTheme="minorHAnsi" w:hAnsiTheme="minorHAnsi" w:cs="Arial"/>
        </w:rPr>
        <w:lastRenderedPageBreak/>
        <w:t>b) Principal actividad.</w:t>
      </w:r>
    </w:p>
    <w:p w:rsidR="00C10139" w:rsidRPr="00C10139" w:rsidRDefault="00C10139" w:rsidP="00C10139">
      <w:pPr>
        <w:jc w:val="both"/>
        <w:rPr>
          <w:rFonts w:asciiTheme="minorHAnsi" w:hAnsiTheme="minorHAnsi" w:cs="Arial"/>
        </w:rPr>
      </w:pPr>
      <w:r w:rsidRPr="00C10139">
        <w:rPr>
          <w:rFonts w:asciiTheme="minorHAnsi" w:hAnsiTheme="minorHAnsi" w:cs="Arial"/>
        </w:rPr>
        <w:t>Atender a las personas mayores de 15 años que están fuera dl sistema educativo no formal, en la modalidad de alfabetización y educación básica, en sus niveles de primaria y secundaria.</w:t>
      </w:r>
    </w:p>
    <w:p w:rsidR="00C10139" w:rsidRPr="00C10139" w:rsidRDefault="00C10139" w:rsidP="00C10139">
      <w:pPr>
        <w:jc w:val="both"/>
        <w:rPr>
          <w:rFonts w:asciiTheme="minorHAnsi" w:hAnsiTheme="minorHAnsi" w:cs="Arial"/>
        </w:rPr>
      </w:pPr>
      <w:r w:rsidRPr="00C10139">
        <w:rPr>
          <w:rFonts w:asciiTheme="minorHAnsi" w:hAnsiTheme="minorHAnsi" w:cs="Arial"/>
        </w:rPr>
        <w:t>c) Ejercicio fiscal.</w:t>
      </w:r>
    </w:p>
    <w:p w:rsidR="00C10139" w:rsidRPr="00C10139" w:rsidRDefault="00C10139" w:rsidP="00C10139">
      <w:pPr>
        <w:jc w:val="both"/>
        <w:rPr>
          <w:rFonts w:asciiTheme="minorHAnsi" w:hAnsiTheme="minorHAnsi" w:cs="Arial"/>
        </w:rPr>
      </w:pPr>
      <w:r w:rsidRPr="00C10139">
        <w:rPr>
          <w:rFonts w:asciiTheme="minorHAnsi" w:hAnsiTheme="minorHAnsi" w:cs="Arial"/>
        </w:rPr>
        <w:t xml:space="preserve">Enero – </w:t>
      </w:r>
      <w:proofErr w:type="gramStart"/>
      <w:r w:rsidRPr="00C10139">
        <w:rPr>
          <w:rFonts w:asciiTheme="minorHAnsi" w:hAnsiTheme="minorHAnsi" w:cs="Arial"/>
        </w:rPr>
        <w:t>Diciembre</w:t>
      </w:r>
      <w:proofErr w:type="gramEnd"/>
      <w:r w:rsidRPr="00C10139">
        <w:rPr>
          <w:rFonts w:asciiTheme="minorHAnsi" w:hAnsiTheme="minorHAnsi" w:cs="Arial"/>
        </w:rPr>
        <w:t xml:space="preserve"> 2016</w:t>
      </w:r>
    </w:p>
    <w:p w:rsidR="00C10139" w:rsidRPr="00C10139" w:rsidRDefault="00C10139" w:rsidP="00C10139">
      <w:pPr>
        <w:jc w:val="both"/>
        <w:rPr>
          <w:rFonts w:asciiTheme="minorHAnsi" w:hAnsiTheme="minorHAnsi" w:cs="Arial"/>
        </w:rPr>
      </w:pPr>
    </w:p>
    <w:p w:rsidR="00C10139" w:rsidRPr="00C10139" w:rsidRDefault="00C10139" w:rsidP="00C10139">
      <w:pPr>
        <w:jc w:val="both"/>
        <w:rPr>
          <w:rFonts w:asciiTheme="minorHAnsi" w:hAnsiTheme="minorHAnsi" w:cs="Arial"/>
        </w:rPr>
      </w:pPr>
      <w:r w:rsidRPr="00C10139">
        <w:rPr>
          <w:rFonts w:asciiTheme="minorHAnsi" w:hAnsiTheme="minorHAnsi" w:cs="Arial"/>
        </w:rPr>
        <w:t>d) Régimen jurídico.</w:t>
      </w:r>
    </w:p>
    <w:p w:rsidR="00C10139" w:rsidRPr="00C10139" w:rsidRDefault="00C10139" w:rsidP="00C10139">
      <w:pPr>
        <w:jc w:val="both"/>
        <w:rPr>
          <w:rFonts w:asciiTheme="minorHAnsi" w:hAnsiTheme="minorHAnsi" w:cs="Arial"/>
        </w:rPr>
      </w:pPr>
      <w:r w:rsidRPr="00C10139">
        <w:rPr>
          <w:rFonts w:asciiTheme="minorHAnsi" w:hAnsiTheme="minorHAnsi" w:cs="Arial"/>
        </w:rPr>
        <w:t>Persona Moral sin fines lucrativos</w:t>
      </w:r>
    </w:p>
    <w:p w:rsidR="00C10139" w:rsidRPr="00C10139" w:rsidRDefault="00C10139" w:rsidP="00C10139">
      <w:pPr>
        <w:jc w:val="both"/>
        <w:rPr>
          <w:rFonts w:asciiTheme="minorHAnsi" w:hAnsiTheme="minorHAnsi" w:cs="Arial"/>
        </w:rPr>
      </w:pPr>
    </w:p>
    <w:p w:rsidR="00C10139" w:rsidRPr="00C10139" w:rsidRDefault="00C10139" w:rsidP="00C10139">
      <w:pPr>
        <w:jc w:val="both"/>
        <w:rPr>
          <w:rFonts w:asciiTheme="minorHAnsi" w:hAnsiTheme="minorHAnsi" w:cs="Arial"/>
        </w:rPr>
      </w:pPr>
      <w:r w:rsidRPr="00C10139">
        <w:rPr>
          <w:rFonts w:asciiTheme="minorHAnsi" w:hAnsiTheme="minorHAnsi" w:cs="Arial"/>
        </w:rPr>
        <w:t>e) Consideraciones fiscales del ente:</w:t>
      </w:r>
    </w:p>
    <w:p w:rsidR="00C10139" w:rsidRPr="00C10139" w:rsidRDefault="00C10139" w:rsidP="00C10139">
      <w:pPr>
        <w:jc w:val="both"/>
        <w:rPr>
          <w:rFonts w:asciiTheme="minorHAnsi" w:hAnsiTheme="minorHAnsi" w:cs="Arial"/>
        </w:rPr>
      </w:pPr>
      <w:r w:rsidRPr="00C10139">
        <w:rPr>
          <w:rFonts w:asciiTheme="minorHAnsi" w:hAnsiTheme="minorHAnsi" w:cs="Arial"/>
        </w:rPr>
        <w:t xml:space="preserve">Retenedor de Salario y demás prestaciones que deriven de una relación laboral, Retenedor de Ingresos asimilados a salarios, Retenedor de Prestación de servicios profesionales, Retenedor de Arrendamiento y en general de uso o goce temporal de inmuebles. </w:t>
      </w:r>
    </w:p>
    <w:p w:rsidR="00C10139" w:rsidRPr="00C10139" w:rsidRDefault="00C10139" w:rsidP="00C10139">
      <w:pPr>
        <w:jc w:val="both"/>
        <w:rPr>
          <w:rFonts w:asciiTheme="minorHAnsi" w:hAnsiTheme="minorHAnsi" w:cs="Arial"/>
        </w:rPr>
      </w:pPr>
      <w:r w:rsidRPr="00C10139">
        <w:rPr>
          <w:rFonts w:asciiTheme="minorHAnsi" w:hAnsiTheme="minorHAnsi" w:cs="Arial"/>
        </w:rPr>
        <w:t>f) Estructura organizacional básica.</w:t>
      </w:r>
    </w:p>
    <w:p w:rsidR="00C10139" w:rsidRPr="00C10139" w:rsidRDefault="00C10139" w:rsidP="00C10139">
      <w:pPr>
        <w:jc w:val="both"/>
        <w:rPr>
          <w:rFonts w:asciiTheme="minorHAnsi" w:hAnsiTheme="minorHAnsi" w:cs="Arial"/>
          <w:noProof/>
          <w:lang w:eastAsia="es-MX"/>
        </w:rPr>
      </w:pPr>
      <w:r w:rsidRPr="00C10139">
        <w:rPr>
          <w:rFonts w:asciiTheme="minorHAnsi" w:hAnsiTheme="minorHAnsi" w:cs="Arial"/>
        </w:rPr>
        <w:t>Se anexa organigrama.</w:t>
      </w:r>
    </w:p>
    <w:p w:rsidR="00C10139" w:rsidRPr="00C10139" w:rsidRDefault="00C10139" w:rsidP="00C10139">
      <w:pPr>
        <w:jc w:val="both"/>
        <w:rPr>
          <w:rFonts w:asciiTheme="minorHAnsi" w:hAnsiTheme="minorHAnsi" w:cs="Arial"/>
        </w:rPr>
      </w:pPr>
      <w:r w:rsidRPr="00C10139">
        <w:rPr>
          <w:rFonts w:asciiTheme="minorHAnsi" w:hAnsiTheme="minorHAnsi" w:cs="Arial"/>
        </w:rPr>
        <w:t>g) Fideicomisos, mandatos y análogos de los cuales es fideicomitente o fiduciario.</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b/>
        </w:rPr>
      </w:pPr>
      <w:r w:rsidRPr="00C10139">
        <w:rPr>
          <w:rFonts w:asciiTheme="minorHAnsi" w:hAnsiTheme="minorHAnsi" w:cs="Arial"/>
          <w:b/>
        </w:rPr>
        <w:t>5. Bases de Preparación de los Estados Financieros:</w:t>
      </w:r>
    </w:p>
    <w:p w:rsidR="00C10139" w:rsidRPr="00C10139" w:rsidRDefault="00C10139" w:rsidP="00C10139">
      <w:pPr>
        <w:jc w:val="both"/>
        <w:rPr>
          <w:rFonts w:asciiTheme="minorHAnsi" w:hAnsiTheme="minorHAnsi" w:cs="Arial"/>
        </w:rPr>
      </w:pPr>
      <w:r w:rsidRPr="00C10139">
        <w:rPr>
          <w:rFonts w:asciiTheme="minorHAnsi" w:hAnsiTheme="minorHAnsi" w:cs="Arial"/>
        </w:rPr>
        <w:t>a) Si se ha observado la normatividad emitida por el CONAC y las disposiciones legales aplicables.</w:t>
      </w:r>
    </w:p>
    <w:p w:rsidR="00C10139" w:rsidRPr="00C10139" w:rsidRDefault="00C10139" w:rsidP="00C10139">
      <w:pPr>
        <w:jc w:val="both"/>
        <w:rPr>
          <w:rFonts w:asciiTheme="minorHAnsi" w:hAnsiTheme="minorHAnsi" w:cs="Arial"/>
        </w:rPr>
      </w:pPr>
      <w:r w:rsidRPr="00C10139">
        <w:rPr>
          <w:rFonts w:asciiTheme="minorHAnsi" w:hAnsiTheme="minorHAnsi" w:cs="Arial"/>
        </w:rPr>
        <w:t xml:space="preserve"> Las Bases de Preparación de los Estados Financieros observan en cierta medida la normatividad emitida por el CONAC y las disposiciones legales aplicables </w:t>
      </w:r>
    </w:p>
    <w:p w:rsidR="00C10139" w:rsidRPr="00C10139" w:rsidRDefault="00C10139" w:rsidP="00C10139">
      <w:pPr>
        <w:jc w:val="both"/>
        <w:rPr>
          <w:rFonts w:asciiTheme="minorHAnsi" w:hAnsiTheme="minorHAnsi" w:cs="Arial"/>
        </w:rPr>
      </w:pPr>
      <w:r w:rsidRPr="00C10139">
        <w:rPr>
          <w:rFonts w:asciiTheme="minorHAnsi" w:hAnsiTheme="minorHAnsi" w:cs="Arial"/>
        </w:rPr>
        <w:t>b)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C10139" w:rsidRPr="00C10139" w:rsidRDefault="00C10139" w:rsidP="00C10139">
      <w:pPr>
        <w:jc w:val="both"/>
        <w:rPr>
          <w:rFonts w:asciiTheme="minorHAnsi" w:hAnsiTheme="minorHAnsi" w:cs="Arial"/>
        </w:rPr>
      </w:pPr>
      <w:r w:rsidRPr="00C10139">
        <w:rPr>
          <w:rFonts w:asciiTheme="minorHAnsi" w:hAnsiTheme="minorHAnsi" w:cs="Arial"/>
        </w:rPr>
        <w:t xml:space="preserve"> 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C10139" w:rsidRPr="00C10139" w:rsidRDefault="00C10139" w:rsidP="00C10139">
      <w:pPr>
        <w:jc w:val="both"/>
        <w:rPr>
          <w:rFonts w:asciiTheme="minorHAnsi" w:hAnsiTheme="minorHAnsi" w:cs="Arial"/>
        </w:rPr>
      </w:pPr>
      <w:r w:rsidRPr="00C10139">
        <w:rPr>
          <w:rFonts w:asciiTheme="minorHAnsi" w:hAnsiTheme="minorHAnsi" w:cs="Arial"/>
        </w:rPr>
        <w:lastRenderedPageBreak/>
        <w:t>c) Postulados básicos.</w:t>
      </w:r>
    </w:p>
    <w:p w:rsidR="00C10139" w:rsidRPr="00C10139" w:rsidRDefault="00C10139" w:rsidP="00C10139">
      <w:pPr>
        <w:jc w:val="both"/>
        <w:rPr>
          <w:rFonts w:asciiTheme="minorHAnsi" w:hAnsiTheme="minorHAnsi" w:cs="Arial"/>
        </w:rPr>
      </w:pPr>
      <w:r w:rsidRPr="00C10139">
        <w:rPr>
          <w:rFonts w:asciiTheme="minorHAnsi" w:hAnsiTheme="minorHAnsi" w:cs="Arial"/>
        </w:rPr>
        <w:t>Las Bases de Preparación de los Estados Financieros aplican los Postulados Básicos de Registro Contable, el devengo del ingreso, entre otros, aún se encuentra en fase de desarrollo de los diferentes rubros de la información financiera</w:t>
      </w:r>
    </w:p>
    <w:p w:rsidR="00C10139" w:rsidRPr="00C10139" w:rsidRDefault="00C10139" w:rsidP="00C10139">
      <w:pPr>
        <w:jc w:val="both"/>
        <w:rPr>
          <w:rFonts w:asciiTheme="minorHAnsi" w:hAnsiTheme="minorHAnsi" w:cs="Arial"/>
        </w:rPr>
      </w:pPr>
      <w:r w:rsidRPr="00C10139">
        <w:rPr>
          <w:rFonts w:asciiTheme="minorHAnsi" w:hAnsiTheme="minorHAnsi" w:cs="Arial"/>
        </w:rPr>
        <w:t>d) Normatividad supletoria.</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p>
    <w:p w:rsidR="00C10139" w:rsidRPr="00C10139" w:rsidRDefault="00C10139" w:rsidP="00C10139">
      <w:pPr>
        <w:jc w:val="both"/>
        <w:rPr>
          <w:rFonts w:asciiTheme="minorHAnsi" w:hAnsiTheme="minorHAnsi" w:cs="Arial"/>
        </w:rPr>
      </w:pPr>
      <w:r w:rsidRPr="00C10139">
        <w:rPr>
          <w:rFonts w:asciiTheme="minorHAnsi" w:hAnsiTheme="minorHAnsi" w:cs="Arial"/>
        </w:rPr>
        <w:t>e) Para las entidades que por primera vez estén implementando la base devengado de acuerdo a la Ley de Contabilidad, deberán:</w:t>
      </w:r>
    </w:p>
    <w:p w:rsidR="00C10139" w:rsidRPr="00C10139" w:rsidRDefault="00C10139" w:rsidP="00C10139">
      <w:pPr>
        <w:jc w:val="both"/>
        <w:rPr>
          <w:rFonts w:asciiTheme="minorHAnsi" w:hAnsiTheme="minorHAnsi" w:cs="Arial"/>
        </w:rPr>
      </w:pPr>
      <w:r w:rsidRPr="00C10139">
        <w:rPr>
          <w:rFonts w:asciiTheme="minorHAnsi" w:hAnsiTheme="minorHAnsi" w:cs="Cambria Math"/>
        </w:rPr>
        <w:t>‐</w:t>
      </w:r>
      <w:r w:rsidRPr="00C10139">
        <w:rPr>
          <w:rFonts w:asciiTheme="minorHAnsi" w:hAnsiTheme="minorHAnsi" w:cs="Arial"/>
        </w:rPr>
        <w:t>Revelar las nuevas políticas de reconocimiento:</w:t>
      </w:r>
    </w:p>
    <w:p w:rsidR="00C10139" w:rsidRPr="00C10139" w:rsidRDefault="00C10139" w:rsidP="00C10139">
      <w:pPr>
        <w:jc w:val="both"/>
        <w:rPr>
          <w:rFonts w:asciiTheme="minorHAnsi" w:hAnsiTheme="minorHAnsi" w:cs="Arial"/>
        </w:rPr>
      </w:pPr>
      <w:r w:rsidRPr="00C10139">
        <w:rPr>
          <w:rFonts w:asciiTheme="minorHAnsi" w:hAnsiTheme="minorHAnsi" w:cs="Cambria Math"/>
        </w:rPr>
        <w:t>‐</w:t>
      </w:r>
      <w:r w:rsidRPr="00C10139">
        <w:rPr>
          <w:rFonts w:asciiTheme="minorHAnsi" w:hAnsiTheme="minorHAnsi" w:cs="Arial"/>
        </w:rPr>
        <w:t>Plan de implementación:</w:t>
      </w:r>
    </w:p>
    <w:p w:rsidR="00C10139" w:rsidRPr="00C10139" w:rsidRDefault="00C10139" w:rsidP="00C10139">
      <w:pPr>
        <w:jc w:val="both"/>
        <w:rPr>
          <w:rFonts w:asciiTheme="minorHAnsi" w:hAnsiTheme="minorHAnsi" w:cs="Arial"/>
        </w:rPr>
      </w:pPr>
      <w:r w:rsidRPr="00C10139">
        <w:rPr>
          <w:rFonts w:asciiTheme="minorHAnsi" w:hAnsiTheme="minorHAnsi" w:cs="Cambria Math"/>
        </w:rPr>
        <w:t>‐</w:t>
      </w:r>
      <w:r w:rsidRPr="00C10139">
        <w:rPr>
          <w:rFonts w:asciiTheme="minorHAnsi" w:hAnsiTheme="minorHAnsi" w:cs="Arial"/>
        </w:rPr>
        <w:t>Revelar los cambios en las políticas, la clasificación y medición de las mismas, así como su impacto en la información financiera:</w:t>
      </w:r>
    </w:p>
    <w:p w:rsidR="00C10139" w:rsidRPr="00C10139" w:rsidRDefault="00C10139" w:rsidP="00C10139">
      <w:pPr>
        <w:jc w:val="both"/>
        <w:rPr>
          <w:rFonts w:asciiTheme="minorHAnsi" w:hAnsiTheme="minorHAnsi" w:cs="Arial"/>
        </w:rPr>
      </w:pPr>
      <w:r w:rsidRPr="00C10139">
        <w:rPr>
          <w:rFonts w:asciiTheme="minorHAnsi" w:hAnsiTheme="minorHAnsi" w:cs="Arial"/>
        </w:rPr>
        <w:t xml:space="preserve"> Firmar </w:t>
      </w:r>
      <w:proofErr w:type="gramStart"/>
      <w:r w:rsidRPr="00C10139">
        <w:rPr>
          <w:rFonts w:asciiTheme="minorHAnsi" w:hAnsiTheme="minorHAnsi" w:cs="Arial"/>
        </w:rPr>
        <w:t>los  EEFF</w:t>
      </w:r>
      <w:proofErr w:type="gramEnd"/>
      <w:r w:rsidRPr="00C10139">
        <w:rPr>
          <w:rFonts w:asciiTheme="minorHAnsi" w:hAnsiTheme="minorHAnsi" w:cs="Arial"/>
        </w:rPr>
        <w:t xml:space="preserve"> de los Organismos Descentralizados  solicitados por el CONAC publicados en el DOF y PO </w:t>
      </w:r>
    </w:p>
    <w:p w:rsidR="00C10139" w:rsidRPr="00C10139" w:rsidRDefault="00C10139" w:rsidP="00C10139">
      <w:pPr>
        <w:jc w:val="both"/>
        <w:rPr>
          <w:rFonts w:asciiTheme="minorHAnsi" w:hAnsiTheme="minorHAnsi" w:cs="Arial"/>
        </w:rPr>
      </w:pPr>
      <w:r w:rsidRPr="00C10139">
        <w:rPr>
          <w:rFonts w:asciiTheme="minorHAnsi" w:hAnsiTheme="minorHAnsi" w:cs="Cambria Math"/>
        </w:rPr>
        <w:t>‐</w:t>
      </w:r>
      <w:r w:rsidRPr="00C10139">
        <w:rPr>
          <w:rFonts w:asciiTheme="minorHAnsi" w:hAnsiTheme="minorHAnsi" w:cs="Arial"/>
        </w:rPr>
        <w:t>Presentar los últimos estados financieros con la normatividad anteriormente utilizada con las nuevas políticas para fines de comparación en la transición a la base devengado.</w:t>
      </w:r>
    </w:p>
    <w:p w:rsidR="00C10139" w:rsidRPr="00C10139" w:rsidRDefault="00C10139" w:rsidP="00C10139">
      <w:pPr>
        <w:jc w:val="both"/>
        <w:rPr>
          <w:rFonts w:asciiTheme="minorHAnsi" w:hAnsiTheme="minorHAnsi" w:cs="Arial"/>
        </w:rPr>
      </w:pPr>
    </w:p>
    <w:p w:rsidR="00C10139" w:rsidRPr="00C10139" w:rsidRDefault="00C10139" w:rsidP="00C10139">
      <w:pPr>
        <w:jc w:val="both"/>
        <w:rPr>
          <w:rFonts w:asciiTheme="minorHAnsi" w:hAnsiTheme="minorHAnsi" w:cs="Arial"/>
          <w:b/>
        </w:rPr>
      </w:pPr>
      <w:r w:rsidRPr="00C10139">
        <w:rPr>
          <w:rFonts w:asciiTheme="minorHAnsi" w:hAnsiTheme="minorHAnsi" w:cs="Arial"/>
          <w:b/>
        </w:rPr>
        <w:t>6. Políticas de Contabilidad Significativas:</w:t>
      </w:r>
    </w:p>
    <w:p w:rsidR="00C10139" w:rsidRPr="00C10139" w:rsidRDefault="00C10139" w:rsidP="00C10139">
      <w:pPr>
        <w:jc w:val="both"/>
        <w:rPr>
          <w:rFonts w:asciiTheme="minorHAnsi" w:hAnsiTheme="minorHAnsi" w:cs="Arial"/>
        </w:rPr>
      </w:pPr>
      <w:r w:rsidRPr="00C10139">
        <w:rPr>
          <w:rFonts w:asciiTheme="minorHAnsi" w:hAnsiTheme="minorHAnsi" w:cs="Arial"/>
        </w:rPr>
        <w:t>a) Actualización:</w:t>
      </w:r>
    </w:p>
    <w:p w:rsidR="00C10139" w:rsidRPr="00C10139" w:rsidRDefault="00C10139" w:rsidP="00C10139">
      <w:pPr>
        <w:jc w:val="both"/>
        <w:rPr>
          <w:rFonts w:asciiTheme="minorHAnsi" w:hAnsiTheme="minorHAnsi" w:cs="Arial"/>
        </w:rPr>
      </w:pPr>
      <w:r w:rsidRPr="00C10139">
        <w:rPr>
          <w:rFonts w:asciiTheme="minorHAnsi" w:hAnsiTheme="minorHAnsi" w:cs="Arial"/>
        </w:rPr>
        <w:t>b) Informar sobre la realización de operaciones en el extranjero y de sus efectos en la información financiera gubernamental:</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c) Método de valuación de la inversión en acciones de Compañías subsidiarias no consolidadas y asociadas:</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d) Sistema y método de valuación de inventarios y costo de lo vendido:</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e) Beneficios a empleados:</w:t>
      </w:r>
    </w:p>
    <w:p w:rsidR="00C10139" w:rsidRPr="00C10139" w:rsidRDefault="00C10139" w:rsidP="00C10139">
      <w:pPr>
        <w:jc w:val="both"/>
        <w:rPr>
          <w:rFonts w:asciiTheme="minorHAnsi" w:hAnsiTheme="minorHAnsi" w:cs="Arial"/>
        </w:rPr>
      </w:pPr>
      <w:r w:rsidRPr="00C10139">
        <w:rPr>
          <w:rFonts w:asciiTheme="minorHAnsi" w:hAnsiTheme="minorHAnsi" w:cs="Arial"/>
        </w:rPr>
        <w:t>f) Provisiones:</w:t>
      </w:r>
    </w:p>
    <w:p w:rsidR="00C10139" w:rsidRPr="00C10139" w:rsidRDefault="00C10139" w:rsidP="00C10139">
      <w:pPr>
        <w:jc w:val="both"/>
        <w:rPr>
          <w:rFonts w:asciiTheme="minorHAnsi" w:hAnsiTheme="minorHAnsi" w:cs="Arial"/>
        </w:rPr>
      </w:pPr>
      <w:r w:rsidRPr="00C10139">
        <w:rPr>
          <w:rFonts w:asciiTheme="minorHAnsi" w:hAnsiTheme="minorHAnsi" w:cs="Arial"/>
        </w:rPr>
        <w:lastRenderedPageBreak/>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g) Reservas:</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h) Cambios en políticas contables y corrección de errores junto con la revelación de los efectos que se tendrá en la información financiera del ente público, ya sea retrospectivos o prospectivos:</w:t>
      </w:r>
    </w:p>
    <w:p w:rsidR="00C10139" w:rsidRPr="00C10139" w:rsidRDefault="00C10139" w:rsidP="00C10139">
      <w:pPr>
        <w:jc w:val="both"/>
        <w:rPr>
          <w:rFonts w:asciiTheme="minorHAnsi" w:hAnsiTheme="minorHAnsi" w:cs="Arial"/>
        </w:rPr>
      </w:pPr>
      <w:r w:rsidRPr="00C10139">
        <w:rPr>
          <w:rFonts w:asciiTheme="minorHAnsi" w:hAnsiTheme="minorHAnsi" w:cs="Arial"/>
        </w:rPr>
        <w:t xml:space="preserve">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w:t>
      </w:r>
    </w:p>
    <w:p w:rsidR="00C10139" w:rsidRPr="00C10139" w:rsidRDefault="00C10139" w:rsidP="00C10139">
      <w:pPr>
        <w:jc w:val="both"/>
        <w:rPr>
          <w:rFonts w:asciiTheme="minorHAnsi" w:hAnsiTheme="minorHAnsi" w:cs="Arial"/>
        </w:rPr>
      </w:pPr>
      <w:r w:rsidRPr="00C10139">
        <w:rPr>
          <w:rFonts w:asciiTheme="minorHAnsi" w:hAnsiTheme="minorHAnsi" w:cs="Arial"/>
        </w:rPr>
        <w:t>i) Reclasificaciones:</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j) Depuración y cancelación de saldos:</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b/>
        </w:rPr>
      </w:pPr>
    </w:p>
    <w:p w:rsidR="00C10139" w:rsidRPr="00C10139" w:rsidRDefault="00C10139" w:rsidP="00C10139">
      <w:pPr>
        <w:jc w:val="both"/>
        <w:rPr>
          <w:rFonts w:asciiTheme="minorHAnsi" w:hAnsiTheme="minorHAnsi" w:cs="Arial"/>
          <w:b/>
        </w:rPr>
      </w:pPr>
      <w:r w:rsidRPr="00C10139">
        <w:rPr>
          <w:rFonts w:asciiTheme="minorHAnsi" w:hAnsiTheme="minorHAnsi" w:cs="Arial"/>
          <w:b/>
        </w:rPr>
        <w:t>7. Posición en Moneda Extranjera y Protección por Riesgo Cambiario:</w:t>
      </w:r>
    </w:p>
    <w:p w:rsidR="00C10139" w:rsidRPr="00C10139" w:rsidRDefault="00C10139" w:rsidP="00C10139">
      <w:pPr>
        <w:jc w:val="both"/>
        <w:rPr>
          <w:rFonts w:asciiTheme="minorHAnsi" w:hAnsiTheme="minorHAnsi" w:cs="Arial"/>
        </w:rPr>
      </w:pPr>
      <w:r w:rsidRPr="00C10139">
        <w:rPr>
          <w:rFonts w:asciiTheme="minorHAnsi" w:hAnsiTheme="minorHAnsi" w:cs="Arial"/>
        </w:rPr>
        <w:t>a) Activos en moneda extranjera:</w:t>
      </w:r>
    </w:p>
    <w:p w:rsidR="00C10139" w:rsidRPr="00C10139" w:rsidRDefault="00C10139" w:rsidP="00C10139">
      <w:pPr>
        <w:jc w:val="both"/>
        <w:rPr>
          <w:rFonts w:asciiTheme="minorHAnsi" w:hAnsiTheme="minorHAnsi" w:cs="Arial"/>
        </w:rPr>
      </w:pPr>
      <w:r w:rsidRPr="00C10139">
        <w:rPr>
          <w:rFonts w:asciiTheme="minorHAnsi" w:hAnsiTheme="minorHAnsi" w:cs="Arial"/>
        </w:rPr>
        <w:t>No aplica_</w:t>
      </w:r>
    </w:p>
    <w:p w:rsidR="00C10139" w:rsidRPr="00C10139" w:rsidRDefault="00C10139" w:rsidP="00C10139">
      <w:pPr>
        <w:jc w:val="both"/>
        <w:rPr>
          <w:rFonts w:asciiTheme="minorHAnsi" w:hAnsiTheme="minorHAnsi" w:cs="Arial"/>
        </w:rPr>
      </w:pPr>
      <w:r w:rsidRPr="00C10139">
        <w:rPr>
          <w:rFonts w:asciiTheme="minorHAnsi" w:hAnsiTheme="minorHAnsi" w:cs="Arial"/>
        </w:rPr>
        <w:t>b) Pasivos en moneda extranjera:</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c) Posición en moneda extranjera:</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d) Tipo de cambio:</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e) Equivalente en moneda nacional:</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Lo anterior por cada tipo de moneda extranjera que se encuentre en los rubros de activo y pasivo.</w:t>
      </w:r>
    </w:p>
    <w:p w:rsidR="00C10139" w:rsidRPr="00C10139" w:rsidRDefault="00C10139" w:rsidP="00C10139">
      <w:pPr>
        <w:jc w:val="both"/>
        <w:rPr>
          <w:rFonts w:asciiTheme="minorHAnsi" w:hAnsiTheme="minorHAnsi" w:cs="Arial"/>
        </w:rPr>
      </w:pPr>
      <w:r w:rsidRPr="00C10139">
        <w:rPr>
          <w:rFonts w:asciiTheme="minorHAnsi" w:hAnsiTheme="minorHAnsi" w:cs="Arial"/>
        </w:rPr>
        <w:t>Adicionalmente se informará sobre los métodos de protección de riesgo por variaciones en el tipo de cambio.</w:t>
      </w:r>
    </w:p>
    <w:p w:rsidR="00C10139" w:rsidRPr="00C10139" w:rsidRDefault="00C10139" w:rsidP="00C10139">
      <w:pPr>
        <w:jc w:val="both"/>
        <w:rPr>
          <w:rFonts w:asciiTheme="minorHAnsi" w:hAnsiTheme="minorHAnsi" w:cs="Arial"/>
          <w:b/>
        </w:rPr>
      </w:pPr>
      <w:r w:rsidRPr="00C10139">
        <w:rPr>
          <w:rFonts w:asciiTheme="minorHAnsi" w:hAnsiTheme="minorHAnsi" w:cs="Arial"/>
          <w:b/>
        </w:rPr>
        <w:t>8. Reporte Analítico del Activo:</w:t>
      </w:r>
    </w:p>
    <w:p w:rsidR="00C10139" w:rsidRPr="00C10139" w:rsidRDefault="00C10139" w:rsidP="00C10139">
      <w:pPr>
        <w:jc w:val="both"/>
        <w:rPr>
          <w:rFonts w:asciiTheme="minorHAnsi" w:hAnsiTheme="minorHAnsi" w:cs="Arial"/>
        </w:rPr>
      </w:pPr>
      <w:r w:rsidRPr="00C10139">
        <w:rPr>
          <w:rFonts w:asciiTheme="minorHAnsi" w:hAnsiTheme="minorHAnsi" w:cs="Arial"/>
        </w:rPr>
        <w:lastRenderedPageBreak/>
        <w:t>a) Vida útil o porcentajes de depreciación, deterioro o amortización utilizados en los diferentes tipos de activos:</w:t>
      </w:r>
    </w:p>
    <w:p w:rsidR="00C10139" w:rsidRPr="00C10139" w:rsidRDefault="00C10139" w:rsidP="00C10139">
      <w:pPr>
        <w:jc w:val="both"/>
        <w:rPr>
          <w:rFonts w:asciiTheme="minorHAnsi" w:hAnsiTheme="minorHAnsi" w:cs="Arial"/>
        </w:rPr>
      </w:pPr>
      <w:r w:rsidRPr="00C10139">
        <w:rPr>
          <w:rFonts w:asciiTheme="minorHAnsi" w:hAnsiTheme="minorHAnsi" w:cs="Arial"/>
        </w:rPr>
        <w:t>b) Cambios en el porcentaje de depreciación o valor residual de los activos:</w:t>
      </w:r>
    </w:p>
    <w:p w:rsidR="00C10139" w:rsidRPr="00C10139" w:rsidRDefault="00C10139" w:rsidP="00C10139">
      <w:pPr>
        <w:jc w:val="both"/>
        <w:rPr>
          <w:rFonts w:asciiTheme="minorHAnsi" w:hAnsiTheme="minorHAnsi" w:cs="Arial"/>
        </w:rPr>
      </w:pPr>
      <w:r w:rsidRPr="00C10139">
        <w:rPr>
          <w:rFonts w:asciiTheme="minorHAnsi" w:hAnsiTheme="minorHAnsi" w:cs="Arial"/>
        </w:rPr>
        <w:t xml:space="preserve">De conformidad con la norma de CONAC y los alcances del SIHP, actualmente sólo pueden considerarse las 40 clases de activos vigentes. </w:t>
      </w:r>
    </w:p>
    <w:p w:rsidR="00C10139" w:rsidRPr="00C10139" w:rsidRDefault="00C10139" w:rsidP="00C10139">
      <w:pPr>
        <w:jc w:val="both"/>
        <w:rPr>
          <w:rFonts w:asciiTheme="minorHAnsi" w:hAnsiTheme="minorHAnsi" w:cs="Arial"/>
        </w:rPr>
      </w:pPr>
      <w:r w:rsidRPr="00C10139">
        <w:rPr>
          <w:rFonts w:asciiTheme="minorHAnsi" w:hAnsiTheme="minorHAnsi" w:cs="Arial"/>
        </w:rPr>
        <w:t>c) Importe de los gastos capitalizados en el ejercicio, tanto financieros como de investigación y desarrollo:</w:t>
      </w:r>
    </w:p>
    <w:p w:rsidR="00C10139" w:rsidRPr="00C10139" w:rsidRDefault="00C10139" w:rsidP="00C10139">
      <w:pPr>
        <w:jc w:val="both"/>
        <w:rPr>
          <w:rFonts w:asciiTheme="minorHAnsi" w:hAnsiTheme="minorHAnsi" w:cs="Arial"/>
        </w:rPr>
      </w:pPr>
      <w:r w:rsidRPr="00C10139">
        <w:rPr>
          <w:rFonts w:asciiTheme="minorHAnsi" w:hAnsiTheme="minorHAnsi" w:cs="Arial"/>
        </w:rPr>
        <w:t>d) Riegos por tipo de cambio o tipo de interés de las inversiones financieras:</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e) Valor activado en el ejercicio de los bienes construidos por la entidad:</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f) Otras circunstancias de carácter significativo que afecten el activo, tales como bienes en garantía, señalados en embargos, litigios, títulos de inversiones entregados en garantías, baja significativa del valor de inversiones financieras, etc.:</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g) Desmantelamiento de Activos, procedimientos, implicaciones, efectos contables:</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h) Administración de activos; planeación con el objetivo de que el ente los utilice de manera más efectiva:</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Adicionalmente, se deben incluir las explicaciones de las principales variaciones en el activo, en cuadros comparativos como sigue:</w:t>
      </w:r>
    </w:p>
    <w:p w:rsidR="00C10139" w:rsidRPr="00C10139" w:rsidRDefault="00C10139" w:rsidP="00C10139">
      <w:pPr>
        <w:jc w:val="both"/>
        <w:rPr>
          <w:rFonts w:asciiTheme="minorHAnsi" w:hAnsiTheme="minorHAnsi" w:cs="Arial"/>
        </w:rPr>
      </w:pPr>
      <w:r w:rsidRPr="00C10139">
        <w:rPr>
          <w:rFonts w:asciiTheme="minorHAnsi" w:hAnsiTheme="minorHAnsi" w:cs="Arial"/>
        </w:rPr>
        <w:t>a) Inversiones en valores:</w:t>
      </w:r>
    </w:p>
    <w:p w:rsidR="00C10139" w:rsidRPr="00C10139" w:rsidRDefault="00C10139" w:rsidP="00C10139">
      <w:pPr>
        <w:jc w:val="both"/>
        <w:rPr>
          <w:rFonts w:asciiTheme="minorHAnsi" w:hAnsiTheme="minorHAnsi" w:cs="Arial"/>
        </w:rPr>
      </w:pPr>
      <w:proofErr w:type="gramStart"/>
      <w:r w:rsidRPr="00C10139">
        <w:rPr>
          <w:rFonts w:asciiTheme="minorHAnsi" w:hAnsiTheme="minorHAnsi" w:cs="Arial"/>
        </w:rPr>
        <w:t>No  aplica</w:t>
      </w:r>
      <w:proofErr w:type="gramEnd"/>
    </w:p>
    <w:p w:rsidR="00C10139" w:rsidRPr="00C10139" w:rsidRDefault="00C10139" w:rsidP="00C10139">
      <w:pPr>
        <w:jc w:val="both"/>
        <w:rPr>
          <w:rFonts w:asciiTheme="minorHAnsi" w:hAnsiTheme="minorHAnsi" w:cs="Arial"/>
        </w:rPr>
      </w:pPr>
      <w:r w:rsidRPr="00C10139">
        <w:rPr>
          <w:rFonts w:asciiTheme="minorHAnsi" w:hAnsiTheme="minorHAnsi" w:cs="Arial"/>
        </w:rPr>
        <w:t>b) Patrimonio de Organismos descentralizados de Control Presupuestario Indirecto:</w:t>
      </w:r>
    </w:p>
    <w:p w:rsidR="00C10139" w:rsidRPr="00C10139" w:rsidRDefault="00C10139" w:rsidP="00C10139">
      <w:pPr>
        <w:jc w:val="both"/>
        <w:rPr>
          <w:rFonts w:asciiTheme="minorHAnsi" w:hAnsiTheme="minorHAnsi" w:cs="Arial"/>
        </w:rPr>
      </w:pPr>
      <w:r w:rsidRPr="00C10139">
        <w:rPr>
          <w:rFonts w:asciiTheme="minorHAnsi" w:hAnsiTheme="minorHAnsi" w:cs="Arial"/>
        </w:rPr>
        <w:t>c) Inversiones en empresas de participación mayoritaria:</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d) Inversiones en empresas de participación minoritaria:</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e) Patrimonio de organismos descentralizados de control presupuestario directo, según corresponda:</w:t>
      </w:r>
    </w:p>
    <w:p w:rsidR="00C10139" w:rsidRPr="00C10139" w:rsidRDefault="00C10139" w:rsidP="00C10139">
      <w:pPr>
        <w:jc w:val="both"/>
        <w:rPr>
          <w:rFonts w:asciiTheme="minorHAnsi" w:hAnsiTheme="minorHAnsi" w:cs="Arial"/>
          <w:b/>
        </w:rPr>
      </w:pPr>
    </w:p>
    <w:p w:rsidR="00C10139" w:rsidRPr="00C10139" w:rsidRDefault="00C10139" w:rsidP="00C10139">
      <w:pPr>
        <w:jc w:val="both"/>
        <w:rPr>
          <w:rFonts w:asciiTheme="minorHAnsi" w:hAnsiTheme="minorHAnsi" w:cs="Arial"/>
          <w:b/>
        </w:rPr>
      </w:pPr>
      <w:r w:rsidRPr="00C10139">
        <w:rPr>
          <w:rFonts w:asciiTheme="minorHAnsi" w:hAnsiTheme="minorHAnsi" w:cs="Arial"/>
          <w:b/>
        </w:rPr>
        <w:t>9. Fideicomisos, Mandatos y Análogos:</w:t>
      </w:r>
    </w:p>
    <w:p w:rsidR="00C10139" w:rsidRPr="00C10139" w:rsidRDefault="00C10139" w:rsidP="00C10139">
      <w:pPr>
        <w:jc w:val="both"/>
        <w:rPr>
          <w:rFonts w:asciiTheme="minorHAnsi" w:hAnsiTheme="minorHAnsi" w:cs="Arial"/>
        </w:rPr>
      </w:pPr>
      <w:r w:rsidRPr="00C10139">
        <w:rPr>
          <w:rFonts w:asciiTheme="minorHAnsi" w:hAnsiTheme="minorHAnsi" w:cs="Arial"/>
        </w:rPr>
        <w:t>a) Por ramo administrativo que los reporta:</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rPr>
      </w:pPr>
      <w:r w:rsidRPr="00C10139">
        <w:rPr>
          <w:rFonts w:asciiTheme="minorHAnsi" w:hAnsiTheme="minorHAnsi" w:cs="Arial"/>
        </w:rPr>
        <w:t>b) Enlistar los de mayor monto de disponibilidad, relacionando aquéllos que conforman el 80% de las disponibilidades:</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b/>
        </w:rPr>
      </w:pPr>
      <w:r w:rsidRPr="00C10139">
        <w:rPr>
          <w:rFonts w:asciiTheme="minorHAnsi" w:hAnsiTheme="minorHAnsi" w:cs="Arial"/>
          <w:b/>
        </w:rPr>
        <w:t>10. Reporte de la Recaudación:</w:t>
      </w:r>
    </w:p>
    <w:p w:rsidR="00C10139" w:rsidRPr="00C10139" w:rsidRDefault="00C10139" w:rsidP="00C10139">
      <w:pPr>
        <w:jc w:val="both"/>
        <w:rPr>
          <w:rFonts w:asciiTheme="minorHAnsi" w:hAnsiTheme="minorHAnsi" w:cs="Arial"/>
        </w:rPr>
      </w:pPr>
      <w:r w:rsidRPr="00C10139">
        <w:rPr>
          <w:rFonts w:asciiTheme="minorHAnsi" w:hAnsiTheme="minorHAnsi" w:cs="Arial"/>
        </w:rPr>
        <w:t>a) Análisis del comportamiento de la recaudación correspondiente al ente público o cualquier tipo de ingreso, de forma separada los ingresos locales de los federales:</w:t>
      </w:r>
    </w:p>
    <w:p w:rsidR="00C10139" w:rsidRPr="00C10139" w:rsidRDefault="00C10139" w:rsidP="00C10139">
      <w:pPr>
        <w:jc w:val="both"/>
        <w:rPr>
          <w:rFonts w:asciiTheme="minorHAnsi" w:hAnsiTheme="minorHAnsi" w:cs="Arial"/>
        </w:rPr>
      </w:pPr>
      <w:r w:rsidRPr="00C10139">
        <w:rPr>
          <w:rFonts w:asciiTheme="minorHAnsi" w:hAnsiTheme="minorHAnsi" w:cs="Arial"/>
        </w:rPr>
        <w:t>b) Proyección de la recaudación e ingresos en el mediano plazo:</w:t>
      </w:r>
    </w:p>
    <w:p w:rsidR="00C10139" w:rsidRPr="00C10139" w:rsidRDefault="00C10139" w:rsidP="00C10139">
      <w:pPr>
        <w:jc w:val="both"/>
        <w:rPr>
          <w:rFonts w:asciiTheme="minorHAnsi" w:hAnsiTheme="minorHAnsi" w:cs="Arial"/>
          <w:b/>
        </w:rPr>
      </w:pPr>
      <w:r w:rsidRPr="00C10139">
        <w:rPr>
          <w:rFonts w:asciiTheme="minorHAnsi" w:hAnsiTheme="minorHAnsi" w:cs="Arial"/>
          <w:b/>
        </w:rPr>
        <w:t>11. Información sobre la Deuda y el Reporte Analítico de la Deuda:</w:t>
      </w:r>
    </w:p>
    <w:p w:rsidR="00C10139" w:rsidRPr="00C10139" w:rsidRDefault="00C10139" w:rsidP="00C10139">
      <w:pPr>
        <w:jc w:val="both"/>
        <w:rPr>
          <w:rFonts w:asciiTheme="minorHAnsi" w:hAnsiTheme="minorHAnsi" w:cs="Arial"/>
        </w:rPr>
      </w:pPr>
      <w:r w:rsidRPr="00C10139">
        <w:rPr>
          <w:rFonts w:asciiTheme="minorHAnsi" w:hAnsiTheme="minorHAnsi" w:cs="Arial"/>
        </w:rPr>
        <w:t>a) Utilizar al menos los siguientes indicadores: deuda respecto al PIB y deuda respecto a la recaudación tomando, como mínimo, un período igual o menor a 5 años.</w:t>
      </w:r>
    </w:p>
    <w:p w:rsidR="00C10139" w:rsidRPr="00C10139" w:rsidRDefault="00C10139" w:rsidP="00C10139">
      <w:pPr>
        <w:jc w:val="both"/>
        <w:rPr>
          <w:rFonts w:asciiTheme="minorHAnsi" w:hAnsiTheme="minorHAnsi" w:cs="Arial"/>
        </w:rPr>
      </w:pPr>
      <w:r w:rsidRPr="00C10139">
        <w:rPr>
          <w:rFonts w:asciiTheme="minorHAnsi" w:hAnsiTheme="minorHAnsi" w:cs="Arial"/>
        </w:rPr>
        <w:t>b) Información de manera agrupada por tipo de valor gubernamental o instrumento financiero en la que se considere intereses, comisiones, tasa, perfil de vencimiento y otros gastos de la deuda.</w:t>
      </w:r>
    </w:p>
    <w:p w:rsidR="00C10139" w:rsidRPr="00C10139" w:rsidRDefault="00C10139" w:rsidP="00C10139">
      <w:pPr>
        <w:jc w:val="both"/>
        <w:rPr>
          <w:rFonts w:asciiTheme="minorHAnsi" w:hAnsiTheme="minorHAnsi" w:cs="Arial"/>
        </w:rPr>
      </w:pPr>
      <w:r w:rsidRPr="00C10139">
        <w:rPr>
          <w:rFonts w:asciiTheme="minorHAnsi" w:hAnsiTheme="minorHAnsi" w:cs="Arial"/>
        </w:rPr>
        <w:t>* Se anexara la información en las notas de desglose.</w:t>
      </w:r>
    </w:p>
    <w:p w:rsidR="00C10139" w:rsidRPr="00C10139" w:rsidRDefault="00C10139" w:rsidP="00C10139">
      <w:pPr>
        <w:jc w:val="both"/>
        <w:rPr>
          <w:rFonts w:asciiTheme="minorHAnsi" w:hAnsiTheme="minorHAnsi" w:cs="Arial"/>
          <w:b/>
        </w:rPr>
      </w:pPr>
      <w:r w:rsidRPr="00C10139">
        <w:rPr>
          <w:rFonts w:asciiTheme="minorHAnsi" w:hAnsiTheme="minorHAnsi" w:cs="Arial"/>
          <w:b/>
        </w:rPr>
        <w:t>12. Calificaciones otorgadas:</w:t>
      </w:r>
    </w:p>
    <w:p w:rsidR="00C10139" w:rsidRPr="00C10139" w:rsidRDefault="00C10139" w:rsidP="00C10139">
      <w:pPr>
        <w:jc w:val="both"/>
        <w:rPr>
          <w:rFonts w:asciiTheme="minorHAnsi" w:hAnsiTheme="minorHAnsi" w:cs="Arial"/>
        </w:rPr>
      </w:pPr>
      <w:r w:rsidRPr="00C10139">
        <w:rPr>
          <w:rFonts w:asciiTheme="minorHAnsi" w:hAnsiTheme="minorHAnsi" w:cs="Arial"/>
        </w:rPr>
        <w:t>Informar, tanto del ente público como cualquier transacción realizada, que haya sido sujeta a una calificación crediticia:</w:t>
      </w:r>
    </w:p>
    <w:p w:rsidR="00C10139" w:rsidRPr="00C10139" w:rsidRDefault="00C10139" w:rsidP="00C10139">
      <w:pPr>
        <w:jc w:val="both"/>
        <w:rPr>
          <w:rFonts w:asciiTheme="minorHAnsi" w:hAnsiTheme="minorHAnsi" w:cs="Arial"/>
        </w:rPr>
      </w:pPr>
      <w:r w:rsidRPr="00C10139">
        <w:rPr>
          <w:rFonts w:asciiTheme="minorHAnsi" w:hAnsiTheme="minorHAnsi" w:cs="Arial"/>
        </w:rPr>
        <w:t>No aplica</w:t>
      </w:r>
    </w:p>
    <w:p w:rsidR="00C10139" w:rsidRPr="00C10139" w:rsidRDefault="00C10139" w:rsidP="00C10139">
      <w:pPr>
        <w:jc w:val="both"/>
        <w:rPr>
          <w:rFonts w:asciiTheme="minorHAnsi" w:hAnsiTheme="minorHAnsi" w:cs="Arial"/>
          <w:b/>
        </w:rPr>
      </w:pPr>
      <w:r w:rsidRPr="00C10139">
        <w:rPr>
          <w:rFonts w:asciiTheme="minorHAnsi" w:hAnsiTheme="minorHAnsi" w:cs="Arial"/>
          <w:b/>
        </w:rPr>
        <w:t>13. Proceso de Mejora:</w:t>
      </w:r>
    </w:p>
    <w:p w:rsidR="00C10139" w:rsidRPr="00C10139" w:rsidRDefault="00C10139" w:rsidP="00C10139">
      <w:pPr>
        <w:jc w:val="both"/>
        <w:rPr>
          <w:rFonts w:asciiTheme="minorHAnsi" w:hAnsiTheme="minorHAnsi" w:cs="Arial"/>
        </w:rPr>
      </w:pPr>
      <w:r w:rsidRPr="00C10139">
        <w:rPr>
          <w:rFonts w:asciiTheme="minorHAnsi" w:hAnsiTheme="minorHAnsi" w:cs="Arial"/>
        </w:rPr>
        <w:t>Se informará de:</w:t>
      </w:r>
    </w:p>
    <w:p w:rsidR="00C10139" w:rsidRPr="00C10139" w:rsidRDefault="00C10139" w:rsidP="00C10139">
      <w:pPr>
        <w:jc w:val="both"/>
        <w:rPr>
          <w:rFonts w:asciiTheme="minorHAnsi" w:hAnsiTheme="minorHAnsi" w:cs="Arial"/>
        </w:rPr>
      </w:pPr>
      <w:r w:rsidRPr="00C10139">
        <w:rPr>
          <w:rFonts w:asciiTheme="minorHAnsi" w:hAnsiTheme="minorHAnsi" w:cs="Arial"/>
        </w:rPr>
        <w:t>a) Principales Políticas de control interno:</w:t>
      </w:r>
    </w:p>
    <w:p w:rsidR="00C10139" w:rsidRPr="00C10139" w:rsidRDefault="00C10139" w:rsidP="00C10139">
      <w:pPr>
        <w:jc w:val="both"/>
        <w:rPr>
          <w:rFonts w:asciiTheme="minorHAnsi" w:hAnsiTheme="minorHAnsi" w:cs="Arial"/>
        </w:rPr>
      </w:pPr>
    </w:p>
    <w:p w:rsidR="00C10139" w:rsidRPr="00C10139" w:rsidRDefault="00C10139" w:rsidP="00C10139">
      <w:pPr>
        <w:jc w:val="both"/>
        <w:rPr>
          <w:rFonts w:asciiTheme="minorHAnsi" w:hAnsiTheme="minorHAnsi" w:cs="Arial"/>
        </w:rPr>
      </w:pPr>
      <w:r w:rsidRPr="00C10139">
        <w:rPr>
          <w:rFonts w:asciiTheme="minorHAnsi" w:hAnsiTheme="minorHAnsi" w:cs="Arial"/>
        </w:rPr>
        <w:t>b) Medidas de desempeño financiero, metas y alcance:</w:t>
      </w:r>
    </w:p>
    <w:p w:rsidR="00C10139" w:rsidRPr="00C10139" w:rsidRDefault="00C10139" w:rsidP="00C10139">
      <w:pPr>
        <w:jc w:val="both"/>
        <w:rPr>
          <w:rFonts w:asciiTheme="minorHAnsi" w:hAnsiTheme="minorHAnsi" w:cs="Arial"/>
          <w:b/>
        </w:rPr>
      </w:pPr>
      <w:r w:rsidRPr="00C10139">
        <w:rPr>
          <w:rFonts w:asciiTheme="minorHAnsi" w:hAnsiTheme="minorHAnsi" w:cs="Arial"/>
          <w:b/>
        </w:rPr>
        <w:t>14. Información por Segmentos:</w:t>
      </w:r>
    </w:p>
    <w:p w:rsidR="00C10139" w:rsidRPr="00C10139" w:rsidRDefault="00C10139" w:rsidP="00C10139">
      <w:pPr>
        <w:jc w:val="both"/>
        <w:rPr>
          <w:rFonts w:asciiTheme="minorHAnsi" w:hAnsiTheme="minorHAnsi" w:cs="Arial"/>
        </w:rPr>
      </w:pPr>
      <w:r w:rsidRPr="00C10139">
        <w:rPr>
          <w:rFonts w:asciiTheme="minorHAnsi" w:hAnsiTheme="minorHAnsi" w:cs="Arial"/>
        </w:rPr>
        <w:lastRenderedPageBreak/>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rsidR="00C10139" w:rsidRPr="00C10139" w:rsidRDefault="00C10139" w:rsidP="00C10139">
      <w:pPr>
        <w:jc w:val="both"/>
        <w:rPr>
          <w:rFonts w:asciiTheme="minorHAnsi" w:hAnsiTheme="minorHAnsi" w:cs="Arial"/>
        </w:rPr>
      </w:pPr>
      <w:r w:rsidRPr="00C10139">
        <w:rPr>
          <w:rFonts w:asciiTheme="minorHAnsi" w:hAnsiTheme="minorHAnsi" w:cs="Arial"/>
        </w:rPr>
        <w:t>Consecuentemente, esta información contribuye al análisis más preciso de la situación financiera, grados y fuentes de riesgo y crecimiento potencial de negocio.</w:t>
      </w:r>
    </w:p>
    <w:p w:rsidR="00C10139" w:rsidRPr="00C10139" w:rsidRDefault="00C10139" w:rsidP="00C10139">
      <w:pPr>
        <w:jc w:val="both"/>
        <w:rPr>
          <w:rFonts w:asciiTheme="minorHAnsi" w:hAnsiTheme="minorHAnsi" w:cs="Arial"/>
          <w:b/>
        </w:rPr>
      </w:pPr>
      <w:r w:rsidRPr="00C10139">
        <w:rPr>
          <w:rFonts w:asciiTheme="minorHAnsi" w:hAnsiTheme="minorHAnsi" w:cs="Arial"/>
          <w:b/>
        </w:rPr>
        <w:t>15. Eventos Posteriores al Cierre:</w:t>
      </w:r>
    </w:p>
    <w:p w:rsidR="00C10139" w:rsidRPr="00C10139" w:rsidRDefault="00C10139" w:rsidP="00C10139">
      <w:pPr>
        <w:jc w:val="both"/>
        <w:rPr>
          <w:rFonts w:asciiTheme="minorHAnsi" w:hAnsiTheme="minorHAnsi" w:cs="Arial"/>
        </w:rPr>
      </w:pPr>
      <w:r w:rsidRPr="00C10139">
        <w:rPr>
          <w:rFonts w:asciiTheme="minorHAnsi" w:hAnsiTheme="minorHAnsi" w:cs="Arial"/>
        </w:rPr>
        <w:t xml:space="preserve">El ente público informará el efecto en sus estados financieros de aquellos hechos ocurridos en el período posterior al que informa, que proporcionan mayor evidencia sobre eventos que le </w:t>
      </w:r>
      <w:proofErr w:type="gramStart"/>
      <w:r w:rsidRPr="00C10139">
        <w:rPr>
          <w:rFonts w:asciiTheme="minorHAnsi" w:hAnsiTheme="minorHAnsi" w:cs="Arial"/>
        </w:rPr>
        <w:t>afectan  económicamente</w:t>
      </w:r>
      <w:proofErr w:type="gramEnd"/>
      <w:r w:rsidRPr="00C10139">
        <w:rPr>
          <w:rFonts w:asciiTheme="minorHAnsi" w:hAnsiTheme="minorHAnsi" w:cs="Arial"/>
        </w:rPr>
        <w:t xml:space="preserve"> y que no se conocían a la fecha de cierre.</w:t>
      </w:r>
    </w:p>
    <w:p w:rsidR="00C10139" w:rsidRPr="00C10139" w:rsidRDefault="00C10139" w:rsidP="00C10139">
      <w:pPr>
        <w:jc w:val="both"/>
        <w:rPr>
          <w:rFonts w:asciiTheme="minorHAnsi" w:hAnsiTheme="minorHAnsi" w:cs="Arial"/>
          <w:b/>
        </w:rPr>
      </w:pPr>
      <w:r w:rsidRPr="00C10139">
        <w:rPr>
          <w:rFonts w:asciiTheme="minorHAnsi" w:hAnsiTheme="minorHAnsi" w:cs="Arial"/>
          <w:b/>
        </w:rPr>
        <w:t>16. Partes Relacionadas:</w:t>
      </w:r>
    </w:p>
    <w:p w:rsidR="00C10139" w:rsidRPr="00C10139" w:rsidRDefault="00C10139" w:rsidP="00C10139">
      <w:pPr>
        <w:jc w:val="both"/>
        <w:rPr>
          <w:rFonts w:asciiTheme="minorHAnsi" w:hAnsiTheme="minorHAnsi" w:cs="Arial"/>
        </w:rPr>
      </w:pPr>
      <w:r w:rsidRPr="00C10139">
        <w:rPr>
          <w:rFonts w:asciiTheme="minorHAnsi" w:hAnsiTheme="minorHAnsi" w:cs="Arial"/>
        </w:rPr>
        <w:t>Se debe establecer por escrito que no existen partes relacionadas que pudieran ejercer influencia significativa sobre la toma de decisiones financieras y operativas:</w:t>
      </w:r>
    </w:p>
    <w:p w:rsidR="00C10139" w:rsidRPr="00C10139" w:rsidRDefault="00C10139" w:rsidP="00C10139">
      <w:pPr>
        <w:jc w:val="both"/>
        <w:rPr>
          <w:rFonts w:asciiTheme="minorHAnsi" w:hAnsiTheme="minorHAnsi" w:cs="Arial"/>
          <w:b/>
        </w:rPr>
      </w:pPr>
      <w:r w:rsidRPr="00C10139">
        <w:rPr>
          <w:rFonts w:asciiTheme="minorHAnsi" w:hAnsiTheme="minorHAnsi" w:cs="Arial"/>
          <w:b/>
        </w:rPr>
        <w:t>17. Responsabilidad sobre la presentación razonable de los Estados Financieros:</w:t>
      </w:r>
    </w:p>
    <w:p w:rsidR="00C10139" w:rsidRPr="00C10139" w:rsidRDefault="00C10139" w:rsidP="00C10139">
      <w:pPr>
        <w:jc w:val="both"/>
        <w:rPr>
          <w:rFonts w:asciiTheme="minorHAnsi" w:hAnsiTheme="minorHAnsi" w:cs="Arial"/>
        </w:rPr>
      </w:pPr>
      <w:r w:rsidRPr="00C10139">
        <w:rPr>
          <w:rFonts w:asciiTheme="minorHAnsi" w:hAnsiTheme="minorHAnsi" w:cs="Arial"/>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rsidR="00C10139" w:rsidRPr="00C10139" w:rsidRDefault="00C10139" w:rsidP="00C10139">
      <w:pPr>
        <w:jc w:val="both"/>
        <w:rPr>
          <w:rFonts w:asciiTheme="minorHAnsi" w:hAnsiTheme="minorHAnsi" w:cs="Arial"/>
          <w:b/>
        </w:rPr>
      </w:pPr>
      <w:r w:rsidRPr="00C10139">
        <w:rPr>
          <w:rFonts w:asciiTheme="minorHAnsi" w:hAnsiTheme="minorHAnsi" w:cs="Arial"/>
          <w:b/>
        </w:rPr>
        <w:t>Recomendaciones</w:t>
      </w:r>
    </w:p>
    <w:p w:rsidR="00C10139" w:rsidRPr="00C10139" w:rsidRDefault="00C10139" w:rsidP="00C10139">
      <w:pPr>
        <w:jc w:val="both"/>
        <w:rPr>
          <w:rFonts w:asciiTheme="minorHAnsi" w:hAnsiTheme="minorHAnsi" w:cs="Arial"/>
        </w:rPr>
      </w:pPr>
    </w:p>
    <w:p w:rsidR="00C10139" w:rsidRPr="00C10139" w:rsidRDefault="00C10139" w:rsidP="00C10139">
      <w:pPr>
        <w:jc w:val="both"/>
        <w:rPr>
          <w:rFonts w:asciiTheme="minorHAnsi" w:hAnsiTheme="minorHAnsi" w:cs="Arial"/>
        </w:rPr>
      </w:pPr>
    </w:p>
    <w:tbl>
      <w:tblPr>
        <w:tblW w:w="10092" w:type="dxa"/>
        <w:tblInd w:w="70" w:type="dxa"/>
        <w:tblCellMar>
          <w:left w:w="70" w:type="dxa"/>
          <w:right w:w="70" w:type="dxa"/>
        </w:tblCellMar>
        <w:tblLook w:val="04A0" w:firstRow="1" w:lastRow="0" w:firstColumn="1" w:lastColumn="0" w:noHBand="0" w:noVBand="1"/>
      </w:tblPr>
      <w:tblGrid>
        <w:gridCol w:w="5496"/>
        <w:gridCol w:w="4852"/>
      </w:tblGrid>
      <w:tr w:rsidR="00C10139" w:rsidRPr="00C10139" w:rsidTr="000306B2">
        <w:trPr>
          <w:trHeight w:val="225"/>
        </w:trPr>
        <w:tc>
          <w:tcPr>
            <w:tcW w:w="5496" w:type="dxa"/>
            <w:tcBorders>
              <w:top w:val="nil"/>
              <w:left w:val="nil"/>
              <w:bottom w:val="nil"/>
              <w:right w:val="nil"/>
            </w:tcBorders>
            <w:shd w:val="clear" w:color="auto" w:fill="auto"/>
            <w:noWrap/>
            <w:vAlign w:val="bottom"/>
            <w:hideMark/>
          </w:tcPr>
          <w:p w:rsidR="00C10139" w:rsidRPr="00C10139" w:rsidRDefault="00C10139" w:rsidP="00C10139">
            <w:pPr>
              <w:spacing w:after="0" w:line="240" w:lineRule="auto"/>
              <w:jc w:val="center"/>
              <w:rPr>
                <w:rFonts w:asciiTheme="minorHAnsi" w:eastAsia="Times New Roman" w:hAnsiTheme="minorHAnsi" w:cs="Arial"/>
                <w:lang w:eastAsia="es-MX"/>
              </w:rPr>
            </w:pPr>
            <w:r w:rsidRPr="00C10139">
              <w:rPr>
                <w:rFonts w:asciiTheme="minorHAnsi" w:eastAsia="Times New Roman" w:hAnsiTheme="minorHAnsi" w:cs="Arial"/>
                <w:lang w:eastAsia="es-MX"/>
              </w:rPr>
              <w:t>____________________________________</w:t>
            </w:r>
          </w:p>
        </w:tc>
        <w:tc>
          <w:tcPr>
            <w:tcW w:w="4596" w:type="dxa"/>
            <w:tcBorders>
              <w:top w:val="nil"/>
              <w:left w:val="nil"/>
              <w:bottom w:val="nil"/>
              <w:right w:val="nil"/>
            </w:tcBorders>
            <w:shd w:val="clear" w:color="auto" w:fill="auto"/>
            <w:noWrap/>
            <w:vAlign w:val="bottom"/>
            <w:hideMark/>
          </w:tcPr>
          <w:p w:rsidR="00C10139" w:rsidRPr="00C10139" w:rsidRDefault="00C10139" w:rsidP="000306B2">
            <w:pPr>
              <w:spacing w:after="0" w:line="240" w:lineRule="auto"/>
              <w:rPr>
                <w:rFonts w:asciiTheme="minorHAnsi" w:eastAsia="Times New Roman" w:hAnsiTheme="minorHAnsi" w:cs="Arial"/>
                <w:lang w:eastAsia="es-MX"/>
              </w:rPr>
            </w:pPr>
            <w:r w:rsidRPr="00C10139">
              <w:rPr>
                <w:rFonts w:asciiTheme="minorHAnsi" w:eastAsia="Times New Roman" w:hAnsiTheme="minorHAnsi" w:cs="Arial"/>
                <w:lang w:eastAsia="es-MX"/>
              </w:rPr>
              <w:t xml:space="preserve">             ___________________________________________</w:t>
            </w:r>
          </w:p>
        </w:tc>
      </w:tr>
      <w:tr w:rsidR="00C10139" w:rsidRPr="00C10139" w:rsidTr="000306B2">
        <w:trPr>
          <w:trHeight w:val="225"/>
        </w:trPr>
        <w:tc>
          <w:tcPr>
            <w:tcW w:w="5496" w:type="dxa"/>
            <w:tcBorders>
              <w:top w:val="nil"/>
              <w:left w:val="nil"/>
              <w:bottom w:val="nil"/>
              <w:right w:val="nil"/>
            </w:tcBorders>
            <w:shd w:val="clear" w:color="auto" w:fill="auto"/>
            <w:noWrap/>
            <w:vAlign w:val="bottom"/>
            <w:hideMark/>
          </w:tcPr>
          <w:p w:rsidR="00C10139" w:rsidRPr="00C10139" w:rsidRDefault="00C10139" w:rsidP="00C10139">
            <w:pPr>
              <w:spacing w:after="0" w:line="240" w:lineRule="auto"/>
              <w:jc w:val="center"/>
              <w:rPr>
                <w:rFonts w:asciiTheme="minorHAnsi" w:eastAsia="Times New Roman" w:hAnsiTheme="minorHAnsi" w:cs="Arial"/>
                <w:b/>
                <w:bCs/>
                <w:lang w:eastAsia="es-MX"/>
              </w:rPr>
            </w:pPr>
            <w:bookmarkStart w:id="0" w:name="_GoBack"/>
            <w:bookmarkEnd w:id="0"/>
            <w:r w:rsidRPr="00C10139">
              <w:rPr>
                <w:rFonts w:asciiTheme="minorHAnsi" w:eastAsia="Times New Roman" w:hAnsiTheme="minorHAnsi" w:cs="Arial"/>
                <w:b/>
                <w:bCs/>
                <w:lang w:eastAsia="es-MX"/>
              </w:rPr>
              <w:t>MAESTRA ESTHER ANGELICA MEDINA RIVERO</w:t>
            </w:r>
          </w:p>
        </w:tc>
        <w:tc>
          <w:tcPr>
            <w:tcW w:w="4596" w:type="dxa"/>
            <w:tcBorders>
              <w:top w:val="nil"/>
              <w:left w:val="nil"/>
              <w:bottom w:val="nil"/>
              <w:right w:val="nil"/>
            </w:tcBorders>
            <w:shd w:val="clear" w:color="auto" w:fill="auto"/>
            <w:noWrap/>
            <w:vAlign w:val="bottom"/>
            <w:hideMark/>
          </w:tcPr>
          <w:p w:rsidR="00C10139" w:rsidRPr="00C10139" w:rsidRDefault="00C10139" w:rsidP="00C10139">
            <w:pPr>
              <w:spacing w:after="0" w:line="240" w:lineRule="auto"/>
              <w:jc w:val="center"/>
              <w:rPr>
                <w:rFonts w:asciiTheme="minorHAnsi" w:eastAsia="Times New Roman" w:hAnsiTheme="minorHAnsi" w:cs="Arial"/>
                <w:b/>
                <w:bCs/>
                <w:lang w:eastAsia="es-MX"/>
              </w:rPr>
            </w:pPr>
            <w:r w:rsidRPr="00C10139">
              <w:rPr>
                <w:rFonts w:asciiTheme="minorHAnsi" w:eastAsia="Times New Roman" w:hAnsiTheme="minorHAnsi" w:cs="Arial"/>
                <w:b/>
                <w:bCs/>
                <w:lang w:eastAsia="es-MX"/>
              </w:rPr>
              <w:t>LIC. LILIANA ESTHERLINA GALLARDO ESCOBEDO</w:t>
            </w:r>
          </w:p>
        </w:tc>
      </w:tr>
      <w:tr w:rsidR="00C10139" w:rsidRPr="00C10139" w:rsidTr="000306B2">
        <w:trPr>
          <w:trHeight w:val="225"/>
        </w:trPr>
        <w:tc>
          <w:tcPr>
            <w:tcW w:w="5496" w:type="dxa"/>
            <w:tcBorders>
              <w:top w:val="nil"/>
              <w:left w:val="nil"/>
              <w:bottom w:val="nil"/>
              <w:right w:val="nil"/>
            </w:tcBorders>
            <w:shd w:val="clear" w:color="auto" w:fill="auto"/>
            <w:noWrap/>
            <w:vAlign w:val="bottom"/>
            <w:hideMark/>
          </w:tcPr>
          <w:p w:rsidR="00C10139" w:rsidRPr="00C10139" w:rsidRDefault="00C10139" w:rsidP="00C10139">
            <w:pPr>
              <w:spacing w:after="0" w:line="240" w:lineRule="auto"/>
              <w:jc w:val="center"/>
              <w:rPr>
                <w:rFonts w:asciiTheme="minorHAnsi" w:eastAsia="Times New Roman" w:hAnsiTheme="minorHAnsi" w:cs="Arial"/>
                <w:b/>
                <w:bCs/>
                <w:lang w:eastAsia="es-MX"/>
              </w:rPr>
            </w:pPr>
            <w:r w:rsidRPr="00C10139">
              <w:rPr>
                <w:rFonts w:asciiTheme="minorHAnsi" w:eastAsia="Times New Roman" w:hAnsiTheme="minorHAnsi" w:cs="Arial"/>
                <w:b/>
                <w:bCs/>
                <w:lang w:eastAsia="es-MX"/>
              </w:rPr>
              <w:t>DIRECTOR GENERAL</w:t>
            </w:r>
          </w:p>
        </w:tc>
        <w:tc>
          <w:tcPr>
            <w:tcW w:w="4596" w:type="dxa"/>
            <w:tcBorders>
              <w:top w:val="nil"/>
              <w:left w:val="nil"/>
              <w:bottom w:val="nil"/>
              <w:right w:val="nil"/>
            </w:tcBorders>
            <w:shd w:val="clear" w:color="auto" w:fill="auto"/>
            <w:noWrap/>
            <w:vAlign w:val="bottom"/>
            <w:hideMark/>
          </w:tcPr>
          <w:p w:rsidR="00C10139" w:rsidRPr="00C10139" w:rsidRDefault="00C10139" w:rsidP="00C10139">
            <w:pPr>
              <w:spacing w:after="0" w:line="240" w:lineRule="auto"/>
              <w:jc w:val="center"/>
              <w:rPr>
                <w:rFonts w:asciiTheme="minorHAnsi" w:eastAsia="Times New Roman" w:hAnsiTheme="minorHAnsi" w:cs="Arial"/>
                <w:b/>
                <w:bCs/>
                <w:lang w:eastAsia="es-MX"/>
              </w:rPr>
            </w:pPr>
            <w:r w:rsidRPr="00C10139">
              <w:rPr>
                <w:rFonts w:asciiTheme="minorHAnsi" w:eastAsia="Times New Roman" w:hAnsiTheme="minorHAnsi" w:cs="Arial"/>
                <w:b/>
                <w:bCs/>
                <w:lang w:eastAsia="es-MX"/>
              </w:rPr>
              <w:t>DIRECTORA ADMINISTRATIVA</w:t>
            </w:r>
          </w:p>
        </w:tc>
      </w:tr>
    </w:tbl>
    <w:p w:rsidR="00C10139" w:rsidRPr="0090761C" w:rsidRDefault="00C10139" w:rsidP="00C10139">
      <w:pPr>
        <w:jc w:val="both"/>
        <w:rPr>
          <w:rFonts w:ascii="Arial" w:hAnsi="Arial" w:cs="Arial"/>
          <w:sz w:val="20"/>
          <w:szCs w:val="20"/>
        </w:rPr>
      </w:pPr>
    </w:p>
    <w:sectPr w:rsidR="00C10139" w:rsidRPr="0090761C" w:rsidSect="00657009">
      <w:headerReference w:type="default" r:id="rId8"/>
      <w:pgSz w:w="12240" w:h="15840"/>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DEE" w:rsidRDefault="00295DEE" w:rsidP="00E00323">
      <w:pPr>
        <w:spacing w:after="0" w:line="240" w:lineRule="auto"/>
      </w:pPr>
      <w:r>
        <w:separator/>
      </w:r>
    </w:p>
  </w:endnote>
  <w:endnote w:type="continuationSeparator" w:id="0">
    <w:p w:rsidR="00295DEE" w:rsidRDefault="00295DEE"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DEE" w:rsidRDefault="00295DEE" w:rsidP="00E00323">
      <w:pPr>
        <w:spacing w:after="0" w:line="240" w:lineRule="auto"/>
      </w:pPr>
      <w:r>
        <w:separator/>
      </w:r>
    </w:p>
  </w:footnote>
  <w:footnote w:type="continuationSeparator" w:id="0">
    <w:p w:rsidR="00295DEE" w:rsidRDefault="00295DEE" w:rsidP="00E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BA3" w:rsidRDefault="00C10139" w:rsidP="00154BA3">
    <w:pPr>
      <w:pStyle w:val="Encabezado"/>
      <w:jc w:val="center"/>
    </w:pPr>
    <w:r>
      <w:t>INSTITUTO DE ALFABETIZACIÓN Y EDUCACIÓN BÁSICA PARA ADULTOS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A6CAA"/>
    <w:rsid w:val="000B7810"/>
    <w:rsid w:val="000E4772"/>
    <w:rsid w:val="00154BA3"/>
    <w:rsid w:val="001973A2"/>
    <w:rsid w:val="001C75F2"/>
    <w:rsid w:val="001D2063"/>
    <w:rsid w:val="00295DEE"/>
    <w:rsid w:val="004C0E86"/>
    <w:rsid w:val="005D3E43"/>
    <w:rsid w:val="005E231E"/>
    <w:rsid w:val="00657009"/>
    <w:rsid w:val="00681C79"/>
    <w:rsid w:val="007714AB"/>
    <w:rsid w:val="007D1E76"/>
    <w:rsid w:val="008E076C"/>
    <w:rsid w:val="00C01244"/>
    <w:rsid w:val="00C10139"/>
    <w:rsid w:val="00E00323"/>
    <w:rsid w:val="00E74967"/>
    <w:rsid w:val="00EA7915"/>
    <w:rsid w:val="00F94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5F489C-CDC8-4B34-B99B-0898D444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ofsfileserver12\..\..\lquiroz\AppData\Local\Microsoft\Windows\Temporary%20Internet%20Files\Content.Outlook\HBGSO9P3\MODELO%20CTA%202013.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1686</Words>
  <Characters>9274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10939</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lanixterminal</cp:lastModifiedBy>
  <cp:revision>2</cp:revision>
  <dcterms:created xsi:type="dcterms:W3CDTF">2016-04-25T15:54:00Z</dcterms:created>
  <dcterms:modified xsi:type="dcterms:W3CDTF">2016-04-25T15:54:00Z</dcterms:modified>
</cp:coreProperties>
</file>