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5"/>
        <w:gridCol w:w="362"/>
        <w:gridCol w:w="3182"/>
        <w:gridCol w:w="138"/>
        <w:gridCol w:w="82"/>
        <w:gridCol w:w="1008"/>
        <w:gridCol w:w="268"/>
        <w:gridCol w:w="873"/>
        <w:gridCol w:w="16"/>
        <w:gridCol w:w="804"/>
        <w:gridCol w:w="16"/>
        <w:gridCol w:w="905"/>
        <w:gridCol w:w="16"/>
        <w:gridCol w:w="1055"/>
        <w:gridCol w:w="1418"/>
      </w:tblGrid>
      <w:tr w:rsidR="00BA2090" w:rsidTr="00BA3471">
        <w:trPr>
          <w:trHeight w:val="61"/>
          <w:tblHeader/>
        </w:trPr>
        <w:tc>
          <w:tcPr>
            <w:tcW w:w="1034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</w:tr>
      <w:tr w:rsidR="00BA2090" w:rsidTr="00BA3471">
        <w:trPr>
          <w:trHeight w:val="71"/>
          <w:tblHeader/>
        </w:trPr>
        <w:tc>
          <w:tcPr>
            <w:tcW w:w="1034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BA2090" w:rsidRDefault="00A52D86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A52D8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INSTITUTO DE ALFABETIZACIÓN Y EDUCACIÓN BÁSICA PARA ADULTOS DEL ESTADO DE GTO.</w:t>
            </w:r>
          </w:p>
        </w:tc>
      </w:tr>
      <w:tr w:rsidR="00BA2090" w:rsidTr="00BA3471">
        <w:trPr>
          <w:trHeight w:val="71"/>
          <w:tblHeader/>
        </w:trPr>
        <w:tc>
          <w:tcPr>
            <w:tcW w:w="1034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Guía de Cumplimiento de la Ley de Disciplina Financiera de las Entidades Federativas y Municipios</w:t>
            </w:r>
          </w:p>
        </w:tc>
      </w:tr>
      <w:tr w:rsidR="00BA2090" w:rsidTr="00BA3471">
        <w:trPr>
          <w:trHeight w:val="71"/>
          <w:tblHeader/>
        </w:trPr>
        <w:tc>
          <w:tcPr>
            <w:tcW w:w="1034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BA2090" w:rsidRDefault="00BA2090" w:rsidP="0055318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Del 1 de enero al 31 de diciembre de 20</w:t>
            </w:r>
            <w:r w:rsidR="0055318F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16</w:t>
            </w:r>
          </w:p>
        </w:tc>
      </w:tr>
      <w:tr w:rsidR="00BA2090" w:rsidTr="00BA3471">
        <w:trPr>
          <w:trHeight w:val="71"/>
          <w:tblHeader/>
        </w:trPr>
        <w:tc>
          <w:tcPr>
            <w:tcW w:w="1034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BA2090" w:rsidTr="00BA3471">
        <w:trPr>
          <w:trHeight w:val="61"/>
          <w:tblHeader/>
        </w:trPr>
        <w:tc>
          <w:tcPr>
            <w:tcW w:w="37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de Observancia (c)</w:t>
            </w:r>
          </w:p>
        </w:tc>
        <w:tc>
          <w:tcPr>
            <w:tcW w:w="2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Implementación</w:t>
            </w:r>
          </w:p>
        </w:tc>
        <w:tc>
          <w:tcPr>
            <w:tcW w:w="17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Resultado</w:t>
            </w:r>
          </w:p>
        </w:tc>
        <w:tc>
          <w:tcPr>
            <w:tcW w:w="107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Fundamento (h)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Comentarios (i)</w:t>
            </w:r>
          </w:p>
        </w:tc>
      </w:tr>
      <w:tr w:rsidR="00BA2090" w:rsidTr="00BA3471">
        <w:trPr>
          <w:trHeight w:val="61"/>
          <w:tblHeader/>
        </w:trPr>
        <w:tc>
          <w:tcPr>
            <w:tcW w:w="37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1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SI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NO</w:t>
            </w:r>
          </w:p>
        </w:tc>
        <w:tc>
          <w:tcPr>
            <w:tcW w:w="820" w:type="dxa"/>
            <w:gridSpan w:val="2"/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7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</w:tr>
      <w:tr w:rsidR="00BA2090" w:rsidTr="00BA3471">
        <w:trPr>
          <w:trHeight w:val="61"/>
          <w:tblHeader/>
        </w:trPr>
        <w:tc>
          <w:tcPr>
            <w:tcW w:w="37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Mecanismo de Verificación (d)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Fecha estimada de cumplimiento (e) 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Monto o valor (f)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ind w:left="-57" w:right="-57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Unidad (pesos/porcentaje) (g)</w:t>
            </w:r>
          </w:p>
        </w:tc>
        <w:tc>
          <w:tcPr>
            <w:tcW w:w="107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</w:tr>
      <w:tr w:rsidR="00BA2090" w:rsidTr="00BA3471">
        <w:trPr>
          <w:trHeight w:val="61"/>
          <w:tblHeader/>
        </w:trPr>
        <w:tc>
          <w:tcPr>
            <w:tcW w:w="61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PRESUPUESTARIOS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BA2090" w:rsidTr="00BA3471">
        <w:trPr>
          <w:trHeight w:val="61"/>
        </w:trPr>
        <w:tc>
          <w:tcPr>
            <w:tcW w:w="611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A. INDICADORES CUANTITATIVOS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BA2090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Balance Presupuestario Sostenible (j)</w:t>
            </w:r>
          </w:p>
        </w:tc>
        <w:tc>
          <w:tcPr>
            <w:tcW w:w="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Propuesto</w:t>
            </w:r>
          </w:p>
        </w:tc>
        <w:tc>
          <w:tcPr>
            <w:tcW w:w="2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rPr>
                <w:rFonts w:ascii="Wingdings 2" w:hAnsi="Wingdings 2" w:cs="Arial"/>
                <w:b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Iniciativa de Ley de Ingresos y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vAlign w:val="center"/>
            <w:hideMark/>
          </w:tcPr>
          <w:p w:rsidR="00A72FED" w:rsidRDefault="00E06F97" w:rsidP="00E06F97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142459989</w:t>
            </w:r>
            <w:r w:rsid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EA7BF1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PREVALECIO EL BALANCE PRESUPUESTARIO SONTENIBLE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Aprobado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Ley de Ingresos y Presupuesto de Egresos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0.00 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52D86" w:rsidP="00BA3471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hyperlink r:id="rId7" w:history="1">
              <w:r w:rsidR="0008531B" w:rsidRPr="00444D60">
                <w:rPr>
                  <w:rStyle w:val="Hipervnculo"/>
                  <w:rFonts w:ascii="Arial" w:hAnsi="Arial" w:cs="Arial"/>
                  <w:sz w:val="12"/>
                  <w:szCs w:val="12"/>
                  <w:lang w:val="es-MX"/>
                </w:rPr>
                <w:t>https://finanzas.guanajuato.gob.mx/c_legislacion/doc/leyes_estatales/05Ley_de_Ingresos_Guanajuato_Ejercicio_Fiscal_2016.pdf</w:t>
              </w:r>
            </w:hyperlink>
            <w:r w:rsid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  <w:p w:rsidR="00BA3471" w:rsidRDefault="00BA3471" w:rsidP="00BA3471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  <w:p w:rsidR="00BA3471" w:rsidRPr="00BA3471" w:rsidRDefault="00BA3471" w:rsidP="00BA3471">
            <w:pPr>
              <w:spacing w:before="40" w:after="40"/>
              <w:ind w:left="84" w:hanging="84"/>
              <w:jc w:val="center"/>
              <w:rPr>
                <w:rStyle w:val="Hipervnculo"/>
                <w:rFonts w:ascii="Arial" w:hAnsi="Arial" w:cs="Arial"/>
                <w:sz w:val="12"/>
                <w:szCs w:val="12"/>
              </w:rPr>
            </w:pPr>
            <w:r w:rsidRPr="00BA3471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http://finanzas.guanajuato.gob.mx/c_legislacion/doc/leyes_estatales/06Ley_Presupuesto_Egresos_Guanajuato_Ejercicio%20Fiscal_201</w:t>
            </w:r>
            <w:r w:rsidR="0008531B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6</w:t>
            </w:r>
            <w:r w:rsidRPr="00BA3471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.pdf</w:t>
            </w:r>
          </w:p>
          <w:p w:rsidR="00BA3471" w:rsidRDefault="00BA3471" w:rsidP="00BA3471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4 LDF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0</w:t>
            </w:r>
          </w:p>
          <w:p w:rsidR="00A52D86" w:rsidRDefault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Pr="00D26BB6" w:rsidRDefault="00D26BB6">
            <w:pPr>
              <w:spacing w:before="40" w:after="40"/>
              <w:jc w:val="center"/>
              <w:rPr>
                <w:rStyle w:val="Hipervnculo"/>
                <w:rFonts w:ascii="Arial" w:hAnsi="Arial" w:cs="Arial"/>
                <w:sz w:val="12"/>
                <w:szCs w:val="12"/>
              </w:rPr>
            </w:pPr>
            <w:r w:rsidRPr="00D26BB6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http://sed.guanajuato.gob.mx/CuentaPublica/public/main</w:t>
            </w:r>
            <w:r w:rsidR="00A72FED" w:rsidRPr="00D26BB6">
              <w:rPr>
                <w:rStyle w:val="Hipervnculo"/>
                <w:rFonts w:ascii="Arial" w:hAnsi="Arial" w:cs="Arial"/>
                <w:sz w:val="12"/>
                <w:szCs w:val="12"/>
              </w:rPr>
              <w:t> 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Balance Presupuestario de Recursos Disponibles Sostenible (k)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Propuesto</w:t>
            </w:r>
          </w:p>
        </w:tc>
        <w:tc>
          <w:tcPr>
            <w:tcW w:w="2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rPr>
                <w:rFonts w:ascii="Wingdings 2" w:hAnsi="Wingdings 2" w:cs="Arial"/>
                <w:b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Iniciativa de Ley de Ingresos y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0.00 </w:t>
            </w: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="00EA7BF1">
              <w:rPr>
                <w:rFonts w:ascii="Arial" w:hAnsi="Arial" w:cs="Arial"/>
                <w:sz w:val="12"/>
                <w:szCs w:val="12"/>
                <w:lang w:val="es-MX"/>
              </w:rPr>
              <w:t>PREVALECIO EL BALANCE PRESUPUESTARIO SONTENIBLE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Aprobado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Ley de Ingresos y Presupuesto de Egresos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0.00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C04BA" w:rsidRDefault="00A52D86" w:rsidP="00AC04BA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hyperlink r:id="rId8" w:history="1">
              <w:r w:rsidR="008E6459" w:rsidRPr="00444D60">
                <w:rPr>
                  <w:rStyle w:val="Hipervnculo"/>
                  <w:rFonts w:ascii="Arial" w:hAnsi="Arial" w:cs="Arial"/>
                  <w:sz w:val="12"/>
                  <w:szCs w:val="12"/>
                  <w:lang w:val="es-MX"/>
                </w:rPr>
                <w:t>https://finanzas.guanajuato.gob.mx/c_legislacion/doc/leyes_estatales/05Ley_de_Ingresos_Guanajuato_Ejercicio_Fiscal_2016.pdf</w:t>
              </w:r>
            </w:hyperlink>
            <w:r w:rsidR="00AC04B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  <w:p w:rsidR="00AC04BA" w:rsidRDefault="00AC04BA" w:rsidP="00AC04BA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  <w:p w:rsidR="00AC04BA" w:rsidRPr="00BA3471" w:rsidRDefault="00AC04BA" w:rsidP="00AC04BA">
            <w:pPr>
              <w:spacing w:before="40" w:after="40"/>
              <w:ind w:left="84" w:hanging="84"/>
              <w:jc w:val="center"/>
              <w:rPr>
                <w:rStyle w:val="Hipervnculo"/>
                <w:rFonts w:ascii="Arial" w:hAnsi="Arial" w:cs="Arial"/>
                <w:sz w:val="12"/>
                <w:szCs w:val="12"/>
              </w:rPr>
            </w:pPr>
            <w:r w:rsidRPr="00BA3471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http://finanzas.guanajuato.gob.mx/c_legislacion/doc/leyes_estatales/06Ley_Presupuesto_Egresos_Guanajuato_Ejercicio%20Fiscal_201</w:t>
            </w:r>
            <w:r w:rsidR="008E6459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6</w:t>
            </w:r>
            <w:r w:rsidRPr="00BA3471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.pdf</w:t>
            </w:r>
          </w:p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A72FED" w:rsidTr="00E708F4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4 LDF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C04BA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D26BB6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http://sed.guanajuato.gob.mx/CuentaPublica/public/main</w:t>
            </w:r>
            <w:r w:rsidRPr="00D26BB6">
              <w:rPr>
                <w:rStyle w:val="Hipervnculo"/>
                <w:rFonts w:ascii="Arial" w:hAnsi="Arial" w:cs="Arial"/>
                <w:sz w:val="12"/>
                <w:szCs w:val="12"/>
              </w:rPr>
              <w:t> </w:t>
            </w:r>
            <w:r w:rsid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A72FED" w:rsidTr="00E708F4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3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Financiamiento Neto dentro del Techo de Financiamiento Neto (l)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A72FED" w:rsidTr="00E708F4">
        <w:trPr>
          <w:trHeight w:val="61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Propuesto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Iniciativa de Ley de Ingresos 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72FED" w:rsidRPr="00A72FED" w:rsidRDefault="00A72FED" w:rsidP="002B1A6D">
            <w:pPr>
              <w:spacing w:before="40" w:after="40"/>
              <w:rPr>
                <w:rFonts w:ascii="Wingdings 2" w:hAnsi="Wingdings 2" w:cs="Arial"/>
                <w:b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6, 19 y 46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Aprobado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Ley de Ingresos 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6, 19 y 46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 </w:t>
            </w:r>
          </w:p>
        </w:tc>
      </w:tr>
      <w:tr w:rsidR="00A72FED" w:rsidTr="00DE30C5">
        <w:trPr>
          <w:trHeight w:val="454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4 LDF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6, 19 y 46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 </w:t>
            </w:r>
          </w:p>
        </w:tc>
      </w:tr>
    </w:tbl>
    <w:p w:rsidR="00DD557A" w:rsidRDefault="00DD557A" w:rsidP="00BA2090">
      <w:pPr>
        <w:rPr>
          <w:sz w:val="2"/>
        </w:rPr>
      </w:pPr>
    </w:p>
    <w:p w:rsidR="00DD557A" w:rsidRDefault="00DD557A" w:rsidP="00BA2090">
      <w:pPr>
        <w:rPr>
          <w:sz w:val="2"/>
        </w:rPr>
      </w:pPr>
    </w:p>
    <w:p w:rsidR="00DD557A" w:rsidRDefault="00DD557A" w:rsidP="00BA2090">
      <w:pPr>
        <w:rPr>
          <w:sz w:val="2"/>
        </w:rPr>
      </w:pPr>
    </w:p>
    <w:p w:rsidR="00DD557A" w:rsidRDefault="00DD557A" w:rsidP="00BA2090">
      <w:pPr>
        <w:rPr>
          <w:sz w:val="2"/>
        </w:rPr>
      </w:pPr>
    </w:p>
    <w:p w:rsidR="00E831D5" w:rsidRDefault="00E831D5">
      <w:pPr>
        <w:spacing w:after="200" w:line="276" w:lineRule="auto"/>
        <w:rPr>
          <w:sz w:val="2"/>
        </w:rPr>
      </w:pPr>
    </w:p>
    <w:p w:rsidR="00E831D5" w:rsidRDefault="00E831D5">
      <w:pPr>
        <w:spacing w:after="200" w:line="276" w:lineRule="auto"/>
        <w:rPr>
          <w:sz w:val="2"/>
        </w:rPr>
      </w:pPr>
    </w:p>
    <w:p w:rsidR="00654DEF" w:rsidRDefault="00654DEF">
      <w:pPr>
        <w:spacing w:after="200" w:line="276" w:lineRule="auto"/>
        <w:rPr>
          <w:sz w:val="2"/>
        </w:rPr>
      </w:pPr>
    </w:p>
    <w:p w:rsidR="00654DEF" w:rsidRDefault="00654DEF">
      <w:pPr>
        <w:spacing w:after="200" w:line="276" w:lineRule="auto"/>
        <w:rPr>
          <w:sz w:val="2"/>
        </w:rPr>
      </w:pPr>
    </w:p>
    <w:p w:rsidR="00654DEF" w:rsidRDefault="00654DEF">
      <w:pPr>
        <w:spacing w:after="200" w:line="276" w:lineRule="auto"/>
        <w:rPr>
          <w:sz w:val="2"/>
        </w:rPr>
      </w:pPr>
    </w:p>
    <w:p w:rsidR="00654DEF" w:rsidRDefault="00654DEF">
      <w:pPr>
        <w:spacing w:after="200" w:line="276" w:lineRule="auto"/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tbl>
      <w:tblPr>
        <w:tblW w:w="10348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5"/>
        <w:gridCol w:w="362"/>
        <w:gridCol w:w="3182"/>
        <w:gridCol w:w="220"/>
        <w:gridCol w:w="1008"/>
        <w:gridCol w:w="268"/>
        <w:gridCol w:w="889"/>
        <w:gridCol w:w="820"/>
        <w:gridCol w:w="921"/>
        <w:gridCol w:w="1055"/>
        <w:gridCol w:w="1418"/>
      </w:tblGrid>
      <w:tr w:rsidR="00E831D5" w:rsidTr="00AC19A1">
        <w:trPr>
          <w:trHeight w:val="61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4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Recursos destinados </w:t>
            </w:r>
            <w:r w:rsidRPr="00B2712C">
              <w:rPr>
                <w:rFonts w:ascii="Arial" w:hAnsi="Arial" w:cs="Arial"/>
                <w:bCs/>
                <w:sz w:val="12"/>
                <w:szCs w:val="12"/>
                <w:lang w:val="es-MX"/>
              </w:rPr>
              <w:t>a la</w: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atención de desastres naturales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C19A1">
        <w:trPr>
          <w:trHeight w:val="61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E831D5" w:rsidRPr="00AC19A1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color w:val="FFFFFF" w:themeColor="background1"/>
                <w:sz w:val="12"/>
                <w:szCs w:val="12"/>
                <w:lang w:val="es-MX"/>
              </w:rPr>
            </w:pPr>
            <w:r w:rsidRPr="00AC19A1">
              <w:rPr>
                <w:rFonts w:ascii="Arial" w:hAnsi="Arial" w:cs="Arial"/>
                <w:i/>
                <w:iCs/>
                <w:color w:val="FFFFFF" w:themeColor="background1"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Asignación al fideicomiso para desastres naturales (m)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52D86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ind w:firstLineChars="200" w:firstLine="2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a.1 Aprobado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s-MX"/>
              </w:rPr>
              <w:t>. Formato 6 a)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4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ind w:firstLineChars="200" w:firstLine="2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a.2 Pagado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6 a)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4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Aportación promedio realizada por la Entidad Federativa durante los 5 ejercicios previos, para infraestructura dañada por desastres naturales (n)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Autorizaciones de recursos aprobados por el FONDEN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E831D5" w:rsidTr="00A52D86">
        <w:trPr>
          <w:trHeight w:val="54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Saldo del fideicomiso para desastres naturales (o)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Auxiliar de Cuentas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E831D5" w:rsidTr="00A52D86">
        <w:trPr>
          <w:trHeight w:val="54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Costo promedio de los últimos 5 ejercicios de la reconstrucción de infraestructura dañada por desastres naturales (p)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Autorizaciones de recursos aprobados por el FONDEN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</w:tbl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tbl>
      <w:tblPr>
        <w:tblW w:w="10348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2"/>
        <w:gridCol w:w="355"/>
        <w:gridCol w:w="3131"/>
        <w:gridCol w:w="263"/>
        <w:gridCol w:w="990"/>
        <w:gridCol w:w="268"/>
        <w:gridCol w:w="990"/>
        <w:gridCol w:w="807"/>
        <w:gridCol w:w="905"/>
        <w:gridCol w:w="1019"/>
        <w:gridCol w:w="1418"/>
      </w:tblGrid>
      <w:tr w:rsidR="00E831D5" w:rsidTr="00A52D86">
        <w:trPr>
          <w:trHeight w:val="53"/>
        </w:trPr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5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Techo para servicios personales (q)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A52D86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78</w:t>
            </w:r>
            <w:r w:rsidR="00E831D5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a.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Asignación en el Presupuesto de Egresos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s-MX"/>
              </w:rPr>
              <w:t>. Formato 6 d)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vAlign w:val="center"/>
            <w:hideMark/>
          </w:tcPr>
          <w:p w:rsidR="00A52D86" w:rsidRDefault="00A52D86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="00A52D86">
              <w:rPr>
                <w:rFonts w:ascii="Arial" w:hAnsi="Arial" w:cs="Arial"/>
                <w:sz w:val="12"/>
                <w:szCs w:val="12"/>
                <w:lang w:val="es-MX"/>
              </w:rPr>
              <w:t>116955878</w:t>
            </w:r>
          </w:p>
          <w:p w:rsidR="00A52D86" w:rsidRDefault="00A52D86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10 y 21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b.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s-MX"/>
              </w:rPr>
              <w:t>. Formato 6 d)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="00155D9B">
              <w:rPr>
                <w:rFonts w:ascii="Arial" w:hAnsi="Arial" w:cs="Arial"/>
                <w:sz w:val="12"/>
                <w:szCs w:val="12"/>
                <w:lang w:val="es-MX"/>
              </w:rPr>
              <w:t>107201121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Art. 13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s-MX"/>
              </w:rPr>
              <w:t>fracc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s-MX"/>
              </w:rPr>
              <w:t>. V y 21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6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Previsiones de gasto para compromisos de pago derivados de </w:t>
            </w:r>
            <w:proofErr w:type="spellStart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APPs</w:t>
            </w:r>
            <w:proofErr w:type="spellEnd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(r) 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a.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Asignación en el Presupuesto de Egresos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11 y 21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7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Techo de ADEFAS para el ejercicio fiscal (s)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a.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Propuesto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12 y 20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b.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Aprobado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s-MX"/>
              </w:rPr>
              <w:t>. Formato 6 a)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12 y 20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6 a)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12 y 20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61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B. INDICADORES CUALITATIVOS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Iniciativa de Ley de Ingresos y Proyecto de Presupuesto de Egresos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Objetivos anuales, estrategias y metas para el ejercicio fiscal (t)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y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8E6459" w:rsidP="00E559BF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</w:t>
            </w:r>
            <w:r w:rsidR="00E559BF">
              <w:rPr>
                <w:rFonts w:ascii="Arial" w:hAnsi="Arial" w:cs="Arial"/>
                <w:sz w:val="12"/>
                <w:szCs w:val="12"/>
                <w:lang w:val="es-MX"/>
              </w:rPr>
              <w:t>,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 DEBIDO A QUE LA LEY (LDF) E</w:t>
            </w:r>
            <w:r w:rsidR="00E559BF">
              <w:rPr>
                <w:rFonts w:ascii="Arial" w:hAnsi="Arial" w:cs="Arial"/>
                <w:sz w:val="12"/>
                <w:szCs w:val="12"/>
                <w:lang w:val="es-MX"/>
              </w:rPr>
              <w:t xml:space="preserve">NTRO EN VIGOR 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A PARTIR DEL 26/04/2016</w:t>
            </w:r>
            <w:r w:rsidR="00E559BF">
              <w:rPr>
                <w:rFonts w:ascii="Arial" w:hAnsi="Arial" w:cs="Arial"/>
                <w:sz w:val="12"/>
                <w:szCs w:val="12"/>
                <w:lang w:val="es-MX"/>
              </w:rPr>
              <w:t xml:space="preserve"> Y POR LA ANUALIDAD DE LA INICIATIAVA, 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PERO SI APLICARA PARA LA</w:t>
            </w:r>
            <w:r w:rsidR="00E559BF">
              <w:rPr>
                <w:rFonts w:ascii="Arial" w:hAnsi="Arial" w:cs="Arial"/>
                <w:sz w:val="12"/>
                <w:szCs w:val="12"/>
                <w:lang w:val="es-MX"/>
              </w:rPr>
              <w:t xml:space="preserve"> DEL 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EJERCICIO 2017 </w:t>
            </w:r>
            <w:r w:rsidR="00E831D5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559BF" w:rsidTr="00E559BF">
        <w:trPr>
          <w:trHeight w:val="1205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Proyecciones de ejercicios posteriores (u)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y Proyecto de Presupuesto de Egresos / Formatos 7 a) y b)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559BF" w:rsidRPr="0043137B" w:rsidRDefault="00E559BF" w:rsidP="00E559B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APLICA, DEBIDO A QUE LA LEY (LDF) ENTRO EN VIGOR A PARTIR DEL 26/04/2016 Y POR LA ANUALIDAD DE LA INICIATIAVA, PERO SI APLICARA PARA LA DEL EJERCICIO 2017</w:t>
            </w:r>
          </w:p>
        </w:tc>
      </w:tr>
      <w:tr w:rsidR="00E559BF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Descripción de riesgos relevantes y propuestas de acción para enfrentarlos (v)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y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559BF" w:rsidRPr="0043137B" w:rsidRDefault="00E559BF" w:rsidP="00A52D8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APLICA, DEBIDO A QUE LA LEY (LDF) ENTRO EN VIGOR A PARTIR DEL 26/04/2016 Y POR LA  ANUALIDAD DE LA INICIATIAVA, PERO SI APLICARA PARA LA DEL EJERCICIO 2017</w:t>
            </w:r>
          </w:p>
        </w:tc>
      </w:tr>
      <w:tr w:rsidR="00E559BF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Resultados de ejercicios fiscales anteriores y el ejercicio fiscal en cuestión (w)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y Proyecto de Presupuesto de Egresos / Formatos 7 c) y d)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559BF" w:rsidRPr="0043137B" w:rsidRDefault="00E559BF" w:rsidP="00A52D8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APLICA, DEBIDO A QUE LA LEY (LDF) ENTRO EN VIGOR A PARTIR DEL 26/04/2016 Y POR LA ANUALIDAD DE LA INICIATIAVA, PERO SI APLICARA PARA LA DEL EJERCICIO 2017</w:t>
            </w:r>
          </w:p>
        </w:tc>
      </w:tr>
      <w:tr w:rsidR="00E559BF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Estudio actuarial de las pensiones de sus trabajadores (x)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Proyecto de Presupuesto de Egresos / Formato 8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559BF" w:rsidRPr="0043137B" w:rsidRDefault="00E559BF" w:rsidP="00A52D8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APLICA, DEBIDO A QUE LA LEY (LDF) ENTRO EN VIGOR A PARTIR DEL 26/04/2016 Y POR LA ANUALIDAD DE LA INICIATIAVA, PERO SI APLICARA PARA LA DEL EJERCICIO 2017</w:t>
            </w:r>
          </w:p>
        </w:tc>
      </w:tr>
      <w:tr w:rsidR="00AB6DEB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bookmarkStart w:id="0" w:name="_GoBack"/>
            <w:bookmarkEnd w:id="0"/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</w:tbl>
    <w:p w:rsidR="00247BE0" w:rsidRDefault="00247BE0">
      <w:pPr>
        <w:spacing w:after="200" w:line="276" w:lineRule="auto"/>
        <w:rPr>
          <w:sz w:val="2"/>
        </w:rPr>
      </w:pPr>
    </w:p>
    <w:p w:rsidR="00DD557A" w:rsidRDefault="00DD557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tbl>
      <w:tblPr>
        <w:tblW w:w="10348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2"/>
        <w:gridCol w:w="355"/>
        <w:gridCol w:w="3131"/>
        <w:gridCol w:w="263"/>
        <w:gridCol w:w="990"/>
        <w:gridCol w:w="268"/>
        <w:gridCol w:w="990"/>
        <w:gridCol w:w="807"/>
        <w:gridCol w:w="905"/>
        <w:gridCol w:w="1019"/>
        <w:gridCol w:w="1418"/>
      </w:tblGrid>
      <w:tr w:rsidR="00F4039A" w:rsidTr="00AC19A1">
        <w:trPr>
          <w:trHeight w:val="53"/>
        </w:trPr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Balance Presupuestario de Recursos Disponibles, en caso de ser negativo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 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Razones excepcionales que justifican el Balance Presupuestario de Recursos Disponibles negativo (y)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o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F4039A" w:rsidTr="00C50A30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Fuente de recursos para cubrir el Balance Presupuestario de Recursos Disponibles negativo (z)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o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F4039A" w:rsidTr="00C50A30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Número de ejercicios fiscales y acciones necesarias para cubrir el Balance Presupuestario de Recursos Disponibles negativo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aa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o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3"/>
        </w:trPr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d.</w:t>
            </w:r>
          </w:p>
        </w:tc>
        <w:tc>
          <w:tcPr>
            <w:tcW w:w="3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Informes Trimestrales sobre el avance de las acciones para recuperar el Balance Presupuestario de Recursos Disponibles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bb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9"/>
                <w:szCs w:val="9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9"/>
                <w:szCs w:val="9"/>
                <w:lang w:val="es-MX"/>
              </w:rPr>
              <w:t>. y Cuenta Pública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</w:tbl>
    <w:p w:rsidR="00F4039A" w:rsidRDefault="00F4039A" w:rsidP="00F4039A">
      <w:pPr>
        <w:rPr>
          <w:sz w:val="2"/>
        </w:rPr>
      </w:pPr>
    </w:p>
    <w:tbl>
      <w:tblPr>
        <w:tblW w:w="10349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5"/>
        <w:gridCol w:w="362"/>
        <w:gridCol w:w="3118"/>
        <w:gridCol w:w="284"/>
        <w:gridCol w:w="1014"/>
        <w:gridCol w:w="262"/>
        <w:gridCol w:w="880"/>
        <w:gridCol w:w="112"/>
        <w:gridCol w:w="709"/>
        <w:gridCol w:w="141"/>
        <w:gridCol w:w="781"/>
        <w:gridCol w:w="70"/>
        <w:gridCol w:w="992"/>
        <w:gridCol w:w="294"/>
        <w:gridCol w:w="1125"/>
      </w:tblGrid>
      <w:tr w:rsidR="00F4039A" w:rsidTr="00C50A30">
        <w:trPr>
          <w:trHeight w:val="52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3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Servicios Personales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a.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Remuneraciones de los servidores públicos (cc)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Proyecto de Presupuesto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10 y 21 de la LDF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080D6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 DEBIDO A QUE LA LEY (LDF) ESTA  VIGENTE A PARTIR DEL 26/04/2016, PERO SI APLICARIA PARA LA INICIATIVA DEL EJERCICIO 2017 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b.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Previsiones salariales y económicas para cubrir incrementos salariales, creación de plazas y otros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Proyecto de Presupuesto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10 y 21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080D6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 DEBIDO A QUE LA LEY (LDF) ESTA  VIGENTE A PARTIR DEL 26/04/2016, PERO SI APLICARIA PARA LA INICIATIVA DEL EJERCICIO 2017 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3118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84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4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2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2" w:type="dxa"/>
            <w:gridSpan w:val="2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50" w:type="dxa"/>
            <w:gridSpan w:val="2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51" w:type="dxa"/>
            <w:gridSpan w:val="2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2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62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DEL EJERCICIO PRESUPUESTARIO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623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A. INDICADORES CUANTITATIVOS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Ingresos Excedentes derivados de Ingresos de Libre Disposición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ee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442458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Cuenta Pública / Formato 5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="00E06F97">
              <w:rPr>
                <w:rFonts w:ascii="Arial" w:hAnsi="Arial" w:cs="Arial"/>
                <w:sz w:val="12"/>
                <w:szCs w:val="12"/>
                <w:lang w:val="es-MX"/>
              </w:rPr>
              <w:t>142459989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14 y 21 de la LDF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destinados al fin del A.14, fracción I de la LDF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ff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14 y 21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537C4D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destinados al fin del A.14, fracción II, a) de la LDF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gg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14 y 21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43569A" w:rsidP="009A115F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SU AFECTACIÓN POSIBLEMENTE SE APLICAR</w:t>
            </w:r>
            <w:r w:rsidR="009A115F">
              <w:rPr>
                <w:rFonts w:ascii="Arial" w:hAnsi="Arial" w:cs="Arial"/>
                <w:sz w:val="12"/>
                <w:szCs w:val="12"/>
                <w:lang w:val="es-MX"/>
              </w:rPr>
              <w:t>Á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 EN 2017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destinados al fin del A.14, fracción II, b) de la LDF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hh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14 y 21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9A115F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="0043569A">
              <w:rPr>
                <w:rFonts w:ascii="Arial" w:hAnsi="Arial" w:cs="Arial"/>
                <w:sz w:val="12"/>
                <w:szCs w:val="12"/>
                <w:lang w:val="es-MX"/>
              </w:rPr>
              <w:t> SU AFECTACIÓN POSIBLEMENTE SE APLICAR</w:t>
            </w:r>
            <w:r w:rsidR="009A115F">
              <w:rPr>
                <w:rFonts w:ascii="Arial" w:hAnsi="Arial" w:cs="Arial"/>
                <w:sz w:val="12"/>
                <w:szCs w:val="12"/>
                <w:lang w:val="es-MX"/>
              </w:rPr>
              <w:t>Á</w:t>
            </w:r>
            <w:r w:rsidR="0043569A">
              <w:rPr>
                <w:rFonts w:ascii="Arial" w:hAnsi="Arial" w:cs="Arial"/>
                <w:sz w:val="12"/>
                <w:szCs w:val="12"/>
                <w:lang w:val="es-MX"/>
              </w:rPr>
              <w:t xml:space="preserve"> EN 2017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destinados al fin del artículo noveno transitorio de la LDF (ii)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Noveno Transitorio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442458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</w:tbl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tbl>
      <w:tblPr>
        <w:tblW w:w="10357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6"/>
        <w:gridCol w:w="180"/>
        <w:gridCol w:w="3299"/>
        <w:gridCol w:w="284"/>
        <w:gridCol w:w="1096"/>
        <w:gridCol w:w="180"/>
        <w:gridCol w:w="868"/>
        <w:gridCol w:w="142"/>
        <w:gridCol w:w="683"/>
        <w:gridCol w:w="142"/>
        <w:gridCol w:w="784"/>
        <w:gridCol w:w="142"/>
        <w:gridCol w:w="924"/>
        <w:gridCol w:w="297"/>
        <w:gridCol w:w="1121"/>
        <w:gridCol w:w="9"/>
      </w:tblGrid>
      <w:tr w:rsidR="00F4039A" w:rsidTr="00C50A30">
        <w:trPr>
          <w:trHeight w:val="53"/>
        </w:trPr>
        <w:tc>
          <w:tcPr>
            <w:tcW w:w="61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836412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B. </w:t>
            </w:r>
            <w:r w:rsidR="00F4039A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CUALITATIVOS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Análisis Costo-Beneficio para programas o proyectos de inversión mayores a 10 millones de UDIS (</w:t>
            </w:r>
            <w:proofErr w:type="spellStart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jj</w:t>
            </w:r>
            <w:proofErr w:type="spellEnd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Página de internet de la Secretaría de Finanzas o Tesorería Municipal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ind w:left="113" w:hanging="113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13 frac. III y 21 de la LDF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2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Análisis de conveniencia y análisis de transferencia de riesgos de los proyectos </w:t>
            </w:r>
            <w:proofErr w:type="spellStart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APPs</w:t>
            </w:r>
            <w:proofErr w:type="spellEnd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kk</w:t>
            </w:r>
            <w:proofErr w:type="spellEnd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Página de internet de la Secretaría de Finanzas o Tesorería Municipal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13 frac. III y 21 de la LDF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3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Identificación de población objetivo, destino y temporalidad de subsidios (ll)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Página de internet de la Secretaría de Finanzas o Tesorería Municipal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13 frac. VII y 21 de la LDF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6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DE DEUDA PÚBLICA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</w:tr>
      <w:tr w:rsidR="00F4039A" w:rsidTr="00C50A30">
        <w:trPr>
          <w:gridAfter w:val="1"/>
          <w:wAfter w:w="9" w:type="dxa"/>
          <w:trHeight w:val="77"/>
        </w:trPr>
        <w:tc>
          <w:tcPr>
            <w:tcW w:w="103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A. INDICADORES CUANTITATIVOS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Obligaciones a Corto Plazo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60"/>
        </w:trPr>
        <w:tc>
          <w:tcPr>
            <w:tcW w:w="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Límite de Obligaciones a Corto Plazo (mm)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DD73AF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30 frac. I de la LDF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Obligaciones a Corto Plazo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nn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30 frac. I de la LDF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</w:tbl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sectPr w:rsidR="00F4039A" w:rsidSect="00486FAC">
      <w:headerReference w:type="even" r:id="rId9"/>
      <w:headerReference w:type="default" r:id="rId10"/>
      <w:footerReference w:type="default" r:id="rId11"/>
      <w:pgSz w:w="12240" w:h="15840"/>
      <w:pgMar w:top="1276" w:right="75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3BA" w:rsidRDefault="004C33BA" w:rsidP="00C50A30">
      <w:r>
        <w:separator/>
      </w:r>
    </w:p>
  </w:endnote>
  <w:endnote w:type="continuationSeparator" w:id="0">
    <w:p w:rsidR="004C33BA" w:rsidRDefault="004C33BA" w:rsidP="00C5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86" w:rsidRDefault="00A52D86" w:rsidP="00A51B30">
    <w:pPr>
      <w:pStyle w:val="Piedepgina"/>
      <w:jc w:val="center"/>
    </w:pPr>
    <w:sdt>
      <w:sdtPr>
        <w:rPr>
          <w:rFonts w:ascii="Arial" w:hAnsi="Arial" w:cs="Arial"/>
          <w:color w:val="808080" w:themeColor="background1" w:themeShade="80"/>
          <w:sz w:val="20"/>
          <w:szCs w:val="20"/>
        </w:rPr>
        <w:id w:val="697505"/>
        <w:docPartObj>
          <w:docPartGallery w:val="Page Numbers (Bottom of Page)"/>
          <w:docPartUnique/>
        </w:docPartObj>
      </w:sdtPr>
      <w:sdtContent>
        <w:r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t xml:space="preserve">Información Financiera / </w:t>
        </w:r>
        <w:r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fldChar w:fldCharType="begin"/>
        </w:r>
        <w:r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instrText>PAGE   \* MERGEFORMAT</w:instrText>
        </w:r>
        <w:r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fldChar w:fldCharType="separate"/>
        </w:r>
        <w:r w:rsidR="001641D0">
          <w:rPr>
            <w:rFonts w:ascii="Arial" w:hAnsi="Arial" w:cs="Arial"/>
            <w:noProof/>
            <w:color w:val="808080" w:themeColor="background1" w:themeShade="80"/>
            <w:sz w:val="16"/>
            <w:szCs w:val="16"/>
          </w:rPr>
          <w:t>1</w:t>
        </w:r>
        <w:r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fldChar w:fldCharType="end"/>
        </w:r>
      </w:sdtContent>
    </w:sdt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-440055</wp:posOffset>
              </wp:positionH>
              <wp:positionV relativeFrom="paragraph">
                <wp:posOffset>-216536</wp:posOffset>
              </wp:positionV>
              <wp:extent cx="7635875" cy="0"/>
              <wp:effectExtent l="0" t="0" r="22225" b="19050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35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AC0C2" id="Line 2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4.65pt,-17.05pt" to="566.6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/AkLQIAAGQEAAAOAAAAZHJzL2Uyb0RvYy54bWysVE2P2jAQvVfqf7B8hyRs+IqAVZVAL7SL&#10;tNsfYGyHWHVsyzYEVPW/d+wAWtpLVfXi2OOZN29mnrN4PrcSnbh1QqslzoYpRlxRzYQ6LPG3t81g&#10;hpHzRDEiteJLfOEOP68+flh0puAj3WjJuEUAolzRmSVuvDdFkjja8Ja4oTZcwWWtbUs8HO0hYZZ0&#10;gN7KZJSmk6TTlhmrKXcOrFV/iVcRv6459S917bhHcomBm4+rjes+rMlqQYqDJaYR9EqD/AOLlggF&#10;Se9QFfEEHa34A6oV1Gqnaz+kuk10XQvKYw1QTZb+Vs1rQwyPtUBznLm3yf0/WPr1tLNIMJgdRoq0&#10;MKKtUByNpqE1nXEFeJRqZ0Nx9KxezVbT7w4pXTZEHXik+HYxEJeFiOQhJBycgQT77otm4EOOXsc+&#10;nWvbBkjoADrHcVzu4+BnjygYp5On8Ww6xoje7hJS3AKNdf4z1y0KmyWWQDoCk9PW+UCEFDeXkEfp&#10;jZAyTlsq1AHbeTpOY4TTUrBwG/yi8HgpLToRkAyhlCufRT95bKGI3j4fp+lVPGAGifXmaILMd5TI&#10;4yGB1UfFIo+GE7a+7j0Rst9DtFSBCXQBKrnuei39mKfz9Ww9ywf5aLIe5GlVDT5tynww2WTTcfVU&#10;lWWV/Qxks7xoBGNchbpuus7yv9PN9YX1irwr+97B5BE9lghkb99IOsogTL7X0F6zy87e5AFSjs7X&#10;Zxfeyvsz7N//HFa/AAAA//8DAFBLAwQUAAYACAAAACEAewBLMeAAAAAMAQAADwAAAGRycy9kb3du&#10;cmV2LnhtbEyPTWvCQBCG70L/wzKF3nTzUaxNs5EiSKHoQaue1+x0kzY7G7KrSf31rlBob/Px8M4z&#10;+XwwDTtj52pLAuJJBAyptKomLWD3sRzPgDkvScnGEgr4QQfz4m6Uy0zZnjZ43nrNQgi5TAqovG8z&#10;zl1ZoZFuYluksPu0nZE+tJ3mqpN9CDcNT6Joyo2sKVyoZIuLCsvv7ckIWByeVr1e0/tlV7/hcvO1&#10;T/R6L8TD/fD6Aszj4P9guOkHdSiC09GeSDnWCBhPn9OAhiJ9jIHdiDhNE2DH3xEvcv7/ieIKAAD/&#10;/wMAUEsBAi0AFAAGAAgAAAAhALaDOJL+AAAA4QEAABMAAAAAAAAAAAAAAAAAAAAAAFtDb250ZW50&#10;X1R5cGVzXS54bWxQSwECLQAUAAYACAAAACEAOP0h/9YAAACUAQAACwAAAAAAAAAAAAAAAAAvAQAA&#10;X3JlbHMvLnJlbHNQSwECLQAUAAYACAAAACEAkv/wJC0CAABkBAAADgAAAAAAAAAAAAAAAAAuAgAA&#10;ZHJzL2Uyb0RvYy54bWxQSwECLQAUAAYACAAAACEAewBLMeAAAAAMAQAADwAAAAAAAAAAAAAAAACH&#10;BAAAZHJzL2Rvd25yZXYueG1sUEsFBgAAAAAEAAQA8wAAAJQFAAAAAA==&#10;" strokecolor="#4579b8 [3044]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3BA" w:rsidRDefault="004C33BA" w:rsidP="00C50A30">
      <w:r>
        <w:separator/>
      </w:r>
    </w:p>
  </w:footnote>
  <w:footnote w:type="continuationSeparator" w:id="0">
    <w:p w:rsidR="004C33BA" w:rsidRDefault="004C33BA" w:rsidP="00C5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86" w:rsidRPr="00486FAC" w:rsidRDefault="00A52D86" w:rsidP="00486FAC">
    <w:pPr>
      <w:pStyle w:val="Encabezado"/>
      <w:jc w:val="center"/>
      <w:rPr>
        <w:rFonts w:ascii="Arial" w:hAnsi="Arial" w:cs="Arial"/>
        <w:color w:val="808080" w:themeColor="background1" w:themeShade="80"/>
        <w:sz w:val="16"/>
        <w:szCs w:val="16"/>
      </w:rPr>
    </w:pPr>
    <w:r>
      <w:rPr>
        <w:rFonts w:ascii="Arial" w:hAnsi="Arial" w:cs="Arial"/>
        <w:noProof/>
        <w:sz w:val="16"/>
        <w:szCs w:val="16"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836295</wp:posOffset>
              </wp:positionH>
              <wp:positionV relativeFrom="paragraph">
                <wp:posOffset>-278130</wp:posOffset>
              </wp:positionV>
              <wp:extent cx="3553460" cy="427355"/>
              <wp:effectExtent l="0" t="0" r="8890" b="0"/>
              <wp:wrapThrough wrapText="bothSides">
                <wp:wrapPolygon edited="0">
                  <wp:start x="0" y="0"/>
                  <wp:lineTo x="0" y="20220"/>
                  <wp:lineTo x="16906" y="20220"/>
                  <wp:lineTo x="21538" y="20220"/>
                  <wp:lineTo x="21538" y="2889"/>
                  <wp:lineTo x="16906" y="0"/>
                  <wp:lineTo x="0" y="0"/>
                </wp:wrapPolygon>
              </wp:wrapThrough>
              <wp:docPr id="5" name="5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553460" cy="427355"/>
                        <a:chOff x="1" y="0"/>
                        <a:chExt cx="3553459" cy="427355"/>
                      </a:xfrm>
                    </wpg:grpSpPr>
                    <wps:wsp>
                      <wps:cNvPr id="18" name="Cuadro de texto 18"/>
                      <wps:cNvSpPr txBox="1">
                        <a:spLocks noChangeArrowheads="1"/>
                      </wps:cNvSpPr>
                      <wps:spPr bwMode="auto">
                        <a:xfrm>
                          <a:off x="2714625" y="66675"/>
                          <a:ext cx="83883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D86" w:rsidRPr="00486FAC" w:rsidRDefault="00A52D86" w:rsidP="00486FAC">
                            <w:pPr>
                              <w:jc w:val="both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486FAC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Cuadro de texto 17"/>
                      <wps:cNvSpPr txBox="1">
                        <a:spLocks noChangeArrowheads="1"/>
                      </wps:cNvSpPr>
                      <wps:spPr bwMode="auto">
                        <a:xfrm>
                          <a:off x="1" y="0"/>
                          <a:ext cx="2767329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D86" w:rsidRPr="00486FAC" w:rsidRDefault="00A52D86" w:rsidP="00486FAC">
                            <w:pPr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86FA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LEY DE DISCIPLINA</w:t>
                            </w:r>
                          </w:p>
                          <w:p w:rsidR="00A52D86" w:rsidRPr="00486FAC" w:rsidRDefault="00A52D86" w:rsidP="00486FAC">
                            <w:pPr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86FA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5 Grupo" o:spid="_x0000_s1026" style="position:absolute;left:0;text-align:left;margin-left:65.85pt;margin-top:-21.9pt;width:279.8pt;height:33.65pt;z-index:251665408;mso-width-relative:margin" coordorigin="" coordsize="35534,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ynNwMAAP0JAAAOAAAAZHJzL2Uyb0RvYy54bWzsVm1v0zAQ/o7Ef7D8vctL06SJlk17oRPS&#10;gEmDH+AmTmKR2MF2lw7Ef+d86dquMAkNIfaBfkjt3Ivvnrvn4uPTddeSO66NUDKnwZFPCZeFKoWs&#10;c/rp42Iyp8RYJkvWKslzes8NPT15/ep46DMeqka1JdcEnEiTDX1OG2v7zPNM0fCOmSPVcwnCSumO&#10;Wdjq2is1G8B713qh78feoHTZa1VwY+Dt5SikJ+i/qnhhP1SV4Za0OYXYLD41Ppfu6Z0cs6zWrG9E&#10;sQmDPSOKjgkJh25dXTLLyEqLn1x1otDKqMoeFarzVFWJgmMOkE3gH2RzpdWqx1zqbKj7LUwA7QFO&#10;z3ZbvL+70USUOZ1RIlkHJZqRK73qlYNm6OsMNK50f9vf6DE/WF6r4rMBsXcod/t6p7yudOeMIE2y&#10;Rszvt5jztSUFvJzOZtMohtIUIIvCBPZjUYoGKufMAkp2ZkXzZt9wlh4aeiwbj8XgtsEMPfSX2UFo&#10;/gzC24b1HCtjHEAbCANo9hHDixUrtSIlJxYSVQQkCCdqOyyJXZ8rTM4BZEZIiVQXDZM1P9NaDQ1n&#10;JYQZOEtIZmvqymLABJwsh3eqhJKxlVXYfgeIh0kQxSFUFgCM4zjZQPuA/Xw6n09B6qCfhvN0inzY&#10;IsiyXht7xVVH3CKnGuiEx7C7a2NdWDsVTEO1olyItsWNrpcXrSZ3DKi3wB9mAtnuq7XSKUvlzEaP&#10;4xuIEc5wMhctUulbGoSRfx6mk0U8TybRIppN0sSfT/wgPU9jP0qjy8V3F2AQZY0oSy6vheQPtA6i&#10;36v5ZsCMhERikyGn6QxwxLz2ozf7Sfr4+1WSnbAw5VrR5XS+VWKZq/AbWULaLLNMtOPaexw+ogwY&#10;PPwjKtgPrgXGZrDr5Rq8uL5YqvIeOkMrqBewCkYzLBqlv1IywJjLqfmyYppT0r6V0F1pEEVuLuIm&#10;miUhbPS+ZLkvYbIAVzm1lIzLCzvO0lWvRd3ASQFiJNUZdGQlsEd2UW36GHg4xvr3CZk8ScjknxDy&#10;0Sx7oGGYxMk0fHqS7Uj2n4cvn4f4McWhvWv8l09H/FrCHQOnzOY+5C4x+3uk7+7WdvIDAAD//wMA&#10;UEsDBBQABgAIAAAAIQCslG3h4QAAAAoBAAAPAAAAZHJzL2Rvd25yZXYueG1sTI/BbsIwEETvlfoP&#10;1lbqDRzjQmkaByHU9oSQCpVQbyZekojYjmKThL/v9tQeR/s0+yZbjbZhPXah9k6BmCbA0BXe1K5U&#10;8HV4nyyBhaid0Y13qOCGAVb5/V2mU+MH94n9PpaMSlxItYIqxjblPBQVWh2mvkVHt7PvrI4Uu5Kb&#10;Tg9Ubhs+S5IFt7p29KHSLW4qLC77q1XwMehhLcVbv72cN7fvw3x33ApU6vFhXL8CizjGPxh+9Ukd&#10;cnI6+aszgTWUpXgmVMHkSdIGIhYvQgI7KZjJOfA84/8n5D8AAAD//wMAUEsBAi0AFAAGAAgAAAAh&#10;ALaDOJL+AAAA4QEAABMAAAAAAAAAAAAAAAAAAAAAAFtDb250ZW50X1R5cGVzXS54bWxQSwECLQAU&#10;AAYACAAAACEAOP0h/9YAAACUAQAACwAAAAAAAAAAAAAAAAAvAQAAX3JlbHMvLnJlbHNQSwECLQAU&#10;AAYACAAAACEALEA8pzcDAAD9CQAADgAAAAAAAAAAAAAAAAAuAgAAZHJzL2Uyb0RvYy54bWxQSwEC&#10;LQAUAAYACAAAACEArJRt4eEAAAAKAQAADwAAAAAAAAAAAAAAAACRBQAAZHJzL2Rvd25yZXYueG1s&#10;UEsFBgAAAAAEAAQA8wAAAJ8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7" type="#_x0000_t202" style="position:absolute;left:27146;top:666;width:8388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<v:textbox>
                  <w:txbxContent>
                    <w:p w:rsidR="00A52D86" w:rsidRPr="00486FAC" w:rsidRDefault="00A52D86" w:rsidP="00486FAC">
                      <w:pPr>
                        <w:jc w:val="both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486FAC">
                        <w:rPr>
                          <w:rFonts w:ascii="Arial" w:hAnsi="Arial" w:cs="Arial"/>
                          <w:color w:val="808080" w:themeColor="background1" w:themeShade="80"/>
                        </w:rPr>
                        <w:t>2016</w:t>
                      </w:r>
                    </w:p>
                  </w:txbxContent>
                </v:textbox>
              </v:shape>
              <v:shape id="Cuadro de texto 17" o:spid="_x0000_s1028" type="#_x0000_t202" style="position:absolute;width:27673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<v:textbox>
                  <w:txbxContent>
                    <w:p w:rsidR="00A52D86" w:rsidRPr="00486FAC" w:rsidRDefault="00A52D86" w:rsidP="00486FAC">
                      <w:pPr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86FAC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LEY DE DISCIPLINA</w:t>
                      </w:r>
                    </w:p>
                    <w:p w:rsidR="00A52D86" w:rsidRPr="00486FAC" w:rsidRDefault="00A52D86" w:rsidP="00486FAC">
                      <w:pPr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86FAC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FINANCIERA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rFonts w:ascii="Arial" w:hAnsi="Arial" w:cs="Arial"/>
        <w:noProof/>
        <w:sz w:val="16"/>
        <w:szCs w:val="16"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-905510</wp:posOffset>
              </wp:positionH>
              <wp:positionV relativeFrom="paragraph">
                <wp:posOffset>216534</wp:posOffset>
              </wp:positionV>
              <wp:extent cx="7635875" cy="0"/>
              <wp:effectExtent l="0" t="0" r="22225" b="19050"/>
              <wp:wrapNone/>
              <wp:docPr id="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35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48CD6" id="Line 28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3pt,17.05pt" to="529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RLLQIAAGQEAAAOAAAAZHJzL2Uyb0RvYy54bWysVE2P2yAQvVfqf0DcE9vZfFpxVlWc9JJ2&#10;I+32BxDAMSoGBCROVPW/d8BOtGkvVdULHoaZN2+Gh5fPl0aiM7dOaFXgbJhixBXVTKhjgb+9bQdz&#10;jJwnihGpFS/wlTv8vPr4YdmanI90rSXjFgGIcnlrClx7b/IkcbTmDXFDbbiCw0rbhnjY2mPCLGkB&#10;vZHJKE2nSastM1ZT7hx4y+4QryJ+VXHqX6rKcY9kgYGbj6uN6yGsyWpJ8qMlpha0p0H+gUVDhIKi&#10;d6iSeIJOVvwB1QhqtdOVH1LdJLqqBOWxB+gmS3/r5rUmhsdeYDjO3Mfk/h8s/XreWyRYgUcYKdLA&#10;Fe2E4mg0D6NpjcshYq32NjRHL+rV7DT97pDS65qoI48U364G8rKQkTykhI0zUODQftEMYsjJ6zin&#10;S2WbAAkTQJd4Hdf7dfCLRxScs+nTZD6bYERvZwnJb4nGOv+Z6wYFo8ASSEdgct45H4iQ/BYS6ii9&#10;FVLG25YKtcB2kU7SmOG0FCychrgoPL6WFp0JSIZQypXPYpw8NdBE519M0rQXD7hBYp07uqDyHSXy&#10;eChg9UmxyKPmhG162xMhOxuypQpMYArQSW91WvqxSBeb+WY+HoxH081gnJbl4NN2PR5Mt9lsUj6V&#10;63WZ/Qxks3FeC8a4Cn3ddJ2N/043/QvrFHlX9n2CySN6bBHI3r6RdJRBuPlOQwfNrnt7kwdIOQb3&#10;zy68lfd7sN//HFa/AAAA//8DAFBLAwQUAAYACAAAACEAelWKUuIAAAALAQAADwAAAGRycy9kb3du&#10;cmV2LnhtbEyPy27CMBBF95X6D9ZUYgdOAuWRxkEVEqpUwQIKXZt46qSNx1FsSNqvr1EXdDkzR3fO&#10;zZa9qdkFW1dZEhCPImBIhVUVaQGHt/VwDsx5SUrWllDANzpY5vd3mUyV7WiHl73XLISQS6WA0vsm&#10;5dwVJRrpRrZBCrcP2xrpw9hqrlrZhXBT8ySKptzIisKHUja4KrH42p+NgNX7bNPpLb3+HKoXXO8+&#10;j4neHoUYPPTPT8A89v4Gw1U/qEMenE72TMqxWsAwniTTwAoYT2JgVyJ6XCyAnf42PM/4/w75LwAA&#10;AP//AwBQSwECLQAUAAYACAAAACEAtoM4kv4AAADhAQAAEwAAAAAAAAAAAAAAAAAAAAAAW0NvbnRl&#10;bnRfVHlwZXNdLnhtbFBLAQItABQABgAIAAAAIQA4/SH/1gAAAJQBAAALAAAAAAAAAAAAAAAAAC8B&#10;AABfcmVscy8ucmVsc1BLAQItABQABgAIAAAAIQABldRLLQIAAGQEAAAOAAAAAAAAAAAAAAAAAC4C&#10;AABkcnMvZTJvRG9jLnhtbFBLAQItABQABgAIAAAAIQB6VYpS4gAAAAsBAAAPAAAAAAAAAAAAAAAA&#10;AIcEAABkcnMvZG93bnJldi54bWxQSwUGAAAAAAQABADzAAAAlgUAAAAA&#10;" strokecolor="#4579b8 [3044]" strokeweight="1.5pt"/>
          </w:pict>
        </mc:Fallback>
      </mc:AlternateContent>
    </w:r>
    <w:r w:rsidRPr="00486FAC">
      <w:rPr>
        <w:rFonts w:ascii="Arial" w:hAnsi="Arial" w:cs="Arial"/>
        <w:color w:val="808080" w:themeColor="background1" w:themeShade="80"/>
        <w:sz w:val="16"/>
        <w:szCs w:val="16"/>
      </w:rPr>
      <w:t>SECTOR PARAESTATAL</w:t>
    </w:r>
  </w:p>
  <w:p w:rsidR="00A52D86" w:rsidRDefault="00A52D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86" w:rsidRPr="00DF7EBF" w:rsidRDefault="00A52D86" w:rsidP="00C50A30">
    <w:pPr>
      <w:pStyle w:val="Encabezado"/>
      <w:jc w:val="center"/>
      <w:rPr>
        <w:rFonts w:ascii="Arial" w:hAnsi="Arial" w:cs="Arial"/>
        <w:color w:val="808080" w:themeColor="background1" w:themeShade="80"/>
        <w:sz w:val="16"/>
        <w:szCs w:val="16"/>
      </w:rPr>
    </w:pPr>
    <w:r w:rsidRPr="00DF7EBF">
      <w:rPr>
        <w:rFonts w:ascii="Arial" w:hAnsi="Arial" w:cs="Arial"/>
        <w:color w:val="808080" w:themeColor="background1" w:themeShade="80"/>
        <w:sz w:val="16"/>
        <w:szCs w:val="16"/>
      </w:rPr>
      <w:t>SECTOR PARAESTATAL</w:t>
    </w:r>
  </w:p>
  <w:p w:rsidR="00A52D86" w:rsidRDefault="00A52D86">
    <w:pPr>
      <w:pStyle w:val="Encabezado"/>
    </w:pPr>
    <w:r>
      <w:rPr>
        <w:rFonts w:ascii="Arial" w:hAnsi="Arial" w:cs="Arial"/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-488950</wp:posOffset>
              </wp:positionH>
              <wp:positionV relativeFrom="paragraph">
                <wp:posOffset>70484</wp:posOffset>
              </wp:positionV>
              <wp:extent cx="7635875" cy="0"/>
              <wp:effectExtent l="0" t="0" r="22225" b="19050"/>
              <wp:wrapNone/>
              <wp:docPr id="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35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CE56E5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8.5pt,5.55pt" to="562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aBLQIAAGQEAAAOAAAAZHJzL2Uyb0RvYy54bWysVE2P2jAQvVfqf7B8hyR8LUSEVUWgF9pF&#10;2u0PMLZDrDq2ZRsCqvrfO3YCWtpLVfXijMczb96Mn7N8vjQSnbl1QqsCZ8MUI66oZkIdC/ztbTuY&#10;Y+Q8UYxIrXiBr9zh59XHD8vW5Hykay0ZtwhAlMtbU+Dae5MniaM1b4gbasMVHFbaNsTD1h4TZkkL&#10;6I1MRmk6S1ptmbGacufAW3aHeBXxq4pT/1JVjnskCwzcfFxtXA9hTVZLkh8tMbWgPQ3yDywaIhQU&#10;vUOVxBN0suIPqEZQq52u/JDqJtFVJSiPPUA3WfpbN681MTz2AsNx5j4m9/9g6dfz3iLBCjzGSJEG&#10;rmgnFEejeRhNa1wOEWu1t6E5elGvZqfpd4eUXtdEHXmk+HY1kJeFjOQhJWycgQKH9otmEENOXsc5&#10;XSrbBEiYALrE67jer4NfPKLgfJqNp/OnKUb0dpaQ/JZorPOfuW5QMAosgXQEJued84EIyW8hoY7S&#10;WyFlvG2pUAtsF+k0jRlOS8HCaYiLwuNradGZgGQIpVz5LMbJUwNNdP7FNE178YAbJNa5owsq31Ei&#10;j4cCVp8UizxqTtimtz0RsrMhW6rABKYAnfRWp6Ufi3SxmW/mk8FkNNsMJmlZDj5t15PBbJs9Tctx&#10;uV6X2c9ANpvktWCMq9DXTdfZ5O9007+wTpF3Zd8nmDyixxaB7O0bSUcZhJvvNHTQ7Lq3N3mAlGNw&#10;/+zCW3m/B/v9z2H1CwAA//8DAFBLAwQUAAYACAAAACEAdZBUvN8AAAAKAQAADwAAAGRycy9kb3du&#10;cmV2LnhtbEyPQUvDQBCF74L/YRnBW7tJoEZiNkUKRRB7aG09T7PjJpqdDdltE/31bvGgx3nv8eZ7&#10;5XKynTjT4FvHCtJ5AoK4drplo2D/up7dg/ABWWPnmBR8kYdldX1VYqHdyFs674IRsYR9gQqaEPpC&#10;Sl83ZNHPXU8cvXc3WAzxHIzUA46x3HYyS5I7abHl+KHBnlYN1Z+7k1WwestfRrPh5+99+0Tr7cch&#10;M5uDUrc30+MDiEBT+AvDBT+iQxWZju7E2otOwSzP45YQjTQFcQmk2WIB4viryKqU/ydUPwAAAP//&#10;AwBQSwECLQAUAAYACAAAACEAtoM4kv4AAADhAQAAEwAAAAAAAAAAAAAAAAAAAAAAW0NvbnRlbnRf&#10;VHlwZXNdLnhtbFBLAQItABQABgAIAAAAIQA4/SH/1gAAAJQBAAALAAAAAAAAAAAAAAAAAC8BAABf&#10;cmVscy8ucmVsc1BLAQItABQABgAIAAAAIQCERraBLQIAAGQEAAAOAAAAAAAAAAAAAAAAAC4CAABk&#10;cnMvZTJvRG9jLnhtbFBLAQItABQABgAIAAAAIQB1kFS83wAAAAoBAAAPAAAAAAAAAAAAAAAAAIcE&#10;AABkcnMvZG93bnJldi54bWxQSwUGAAAAAAQABADzAAAAkwUAAAAA&#10;" strokecolor="#4579b8 [3044]" strokeweight="1.5pt"/>
          </w:pict>
        </mc:Fallback>
      </mc:AlternateContent>
    </w:r>
  </w:p>
  <w:p w:rsidR="00A52D86" w:rsidRDefault="00A52D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90"/>
    <w:rsid w:val="000119F3"/>
    <w:rsid w:val="000267EF"/>
    <w:rsid w:val="00065D30"/>
    <w:rsid w:val="00080D6D"/>
    <w:rsid w:val="0008531B"/>
    <w:rsid w:val="000E078B"/>
    <w:rsid w:val="00155D9B"/>
    <w:rsid w:val="001641D0"/>
    <w:rsid w:val="00202273"/>
    <w:rsid w:val="00247BE0"/>
    <w:rsid w:val="002B1A6D"/>
    <w:rsid w:val="002C2419"/>
    <w:rsid w:val="002F75FD"/>
    <w:rsid w:val="003B29E0"/>
    <w:rsid w:val="0043569A"/>
    <w:rsid w:val="00442458"/>
    <w:rsid w:val="00486FAC"/>
    <w:rsid w:val="004C33BA"/>
    <w:rsid w:val="00537C4D"/>
    <w:rsid w:val="0055318F"/>
    <w:rsid w:val="005F39D4"/>
    <w:rsid w:val="00654DEF"/>
    <w:rsid w:val="006E14AD"/>
    <w:rsid w:val="00756B58"/>
    <w:rsid w:val="00800B40"/>
    <w:rsid w:val="00836412"/>
    <w:rsid w:val="008E6459"/>
    <w:rsid w:val="009A115F"/>
    <w:rsid w:val="00A51B30"/>
    <w:rsid w:val="00A52D86"/>
    <w:rsid w:val="00A72FED"/>
    <w:rsid w:val="00AA63A4"/>
    <w:rsid w:val="00AB6DEB"/>
    <w:rsid w:val="00AC04BA"/>
    <w:rsid w:val="00AC19A1"/>
    <w:rsid w:val="00B2712C"/>
    <w:rsid w:val="00BA2090"/>
    <w:rsid w:val="00BA3471"/>
    <w:rsid w:val="00C50A30"/>
    <w:rsid w:val="00C56FE4"/>
    <w:rsid w:val="00D26BB6"/>
    <w:rsid w:val="00DD557A"/>
    <w:rsid w:val="00DD73AF"/>
    <w:rsid w:val="00DE30C5"/>
    <w:rsid w:val="00DF7EBF"/>
    <w:rsid w:val="00E06F97"/>
    <w:rsid w:val="00E559BF"/>
    <w:rsid w:val="00E708F4"/>
    <w:rsid w:val="00E831D5"/>
    <w:rsid w:val="00EA7BF1"/>
    <w:rsid w:val="00F4039A"/>
    <w:rsid w:val="00F40456"/>
    <w:rsid w:val="00F469FF"/>
    <w:rsid w:val="00FA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8F0823-E0CB-4990-9786-9B3390EB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ar">
    <w:name w:val="Texto Car"/>
    <w:link w:val="Texto"/>
    <w:locked/>
    <w:rsid w:val="00BA2090"/>
    <w:rPr>
      <w:rFonts w:ascii="Arial" w:hAnsi="Arial" w:cs="Arial"/>
      <w:sz w:val="18"/>
      <w:lang w:val="es-ES" w:eastAsia="es-ES"/>
    </w:rPr>
  </w:style>
  <w:style w:type="paragraph" w:customStyle="1" w:styleId="Texto">
    <w:name w:val="Texto"/>
    <w:basedOn w:val="Normal"/>
    <w:link w:val="TextoCar"/>
    <w:qFormat/>
    <w:rsid w:val="00BA2090"/>
    <w:pPr>
      <w:spacing w:after="101" w:line="216" w:lineRule="exact"/>
      <w:ind w:firstLine="288"/>
      <w:jc w:val="both"/>
    </w:pPr>
    <w:rPr>
      <w:rFonts w:ascii="Arial" w:eastAsiaTheme="minorHAnsi" w:hAnsi="Arial" w:cs="Arial"/>
      <w:sz w:val="18"/>
      <w:szCs w:val="22"/>
    </w:rPr>
  </w:style>
  <w:style w:type="character" w:customStyle="1" w:styleId="ANOTACIONCar">
    <w:name w:val="ANOTACION Car"/>
    <w:link w:val="ANOTACION"/>
    <w:locked/>
    <w:rsid w:val="00BA2090"/>
    <w:rPr>
      <w:b/>
      <w:sz w:val="18"/>
      <w:lang w:val="es-ES_tradnl" w:eastAsia="es-ES"/>
    </w:rPr>
  </w:style>
  <w:style w:type="paragraph" w:customStyle="1" w:styleId="ANOTACION">
    <w:name w:val="ANOTACION"/>
    <w:basedOn w:val="Normal"/>
    <w:link w:val="ANOTACIONCar"/>
    <w:rsid w:val="00BA2090"/>
    <w:pPr>
      <w:spacing w:before="101" w:after="101" w:line="216" w:lineRule="atLeast"/>
      <w:jc w:val="center"/>
    </w:pPr>
    <w:rPr>
      <w:rFonts w:asciiTheme="minorHAnsi" w:eastAsiaTheme="minorHAnsi" w:hAnsiTheme="minorHAnsi" w:cstheme="minorBidi"/>
      <w:b/>
      <w:sz w:val="18"/>
      <w:szCs w:val="22"/>
      <w:lang w:val="es-ES_tradnl"/>
    </w:rPr>
  </w:style>
  <w:style w:type="character" w:styleId="Hipervnculo">
    <w:name w:val="Hyperlink"/>
    <w:basedOn w:val="Fuentedeprrafopredeter"/>
    <w:uiPriority w:val="99"/>
    <w:unhideWhenUsed/>
    <w:rsid w:val="00BA347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0A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0A3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50A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A3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A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A3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zas.guanajuato.gob.mx/c_legislacion/doc/leyes_estatales/05Ley_de_Ingresos_Guanajuato_Ejercicio_Fiscal_2016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anzas.guanajuato.gob.mx/c_legislacion/doc/leyes_estatales/05Ley_de_Ingresos_Guanajuato_Ejercicio_Fiscal_201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9D30-72A5-4E05-8930-E606976C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1515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Cecy</dc:creator>
  <cp:lastModifiedBy>lanixterminal</cp:lastModifiedBy>
  <cp:revision>3</cp:revision>
  <cp:lastPrinted>2017-02-22T16:31:00Z</cp:lastPrinted>
  <dcterms:created xsi:type="dcterms:W3CDTF">2017-02-22T16:09:00Z</dcterms:created>
  <dcterms:modified xsi:type="dcterms:W3CDTF">2017-02-22T17:00:00Z</dcterms:modified>
</cp:coreProperties>
</file>