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4DFFE" w14:textId="77777777" w:rsidR="007459C5" w:rsidRPr="007459C5" w:rsidRDefault="007459C5" w:rsidP="007459C5">
      <w:pPr>
        <w:spacing w:after="0" w:line="240" w:lineRule="auto"/>
        <w:jc w:val="center"/>
        <w:rPr>
          <w:rFonts w:asciiTheme="minorHAnsi" w:hAnsiTheme="minorHAnsi" w:cs="Arial"/>
          <w:b/>
        </w:rPr>
      </w:pPr>
      <w:bookmarkStart w:id="0" w:name="_GoBack"/>
      <w:bookmarkEnd w:id="0"/>
    </w:p>
    <w:p w14:paraId="3B21BFC8" w14:textId="77777777" w:rsidR="007459C5" w:rsidRPr="007459C5" w:rsidRDefault="007459C5" w:rsidP="007459C5">
      <w:pPr>
        <w:spacing w:after="0" w:line="240" w:lineRule="auto"/>
        <w:jc w:val="center"/>
        <w:rPr>
          <w:rFonts w:asciiTheme="minorHAnsi" w:hAnsiTheme="minorHAnsi" w:cs="Arial"/>
          <w:b/>
        </w:rPr>
      </w:pPr>
      <w:hyperlink r:id="rId10" w:history="1">
        <w:r w:rsidRPr="007459C5">
          <w:rPr>
            <w:rStyle w:val="Hipervnculo"/>
            <w:rFonts w:asciiTheme="minorHAnsi" w:hAnsiTheme="minorHAnsi" w:cs="Arial"/>
            <w:b/>
          </w:rPr>
          <w:t>NOTAS DE GESTIÓN ADMINISTRATIVA</w:t>
        </w:r>
      </w:hyperlink>
    </w:p>
    <w:p w14:paraId="18C73174" w14:textId="77777777" w:rsidR="007459C5" w:rsidRPr="007459C5" w:rsidRDefault="007459C5" w:rsidP="007459C5">
      <w:pPr>
        <w:spacing w:after="0" w:line="240" w:lineRule="auto"/>
        <w:jc w:val="both"/>
        <w:rPr>
          <w:rFonts w:asciiTheme="minorHAnsi" w:hAnsiTheme="minorHAnsi" w:cs="Arial"/>
          <w:b/>
        </w:rPr>
      </w:pPr>
    </w:p>
    <w:p w14:paraId="2CC0E1CB" w14:textId="77777777" w:rsidR="007459C5" w:rsidRPr="007459C5" w:rsidRDefault="007459C5" w:rsidP="007459C5">
      <w:pPr>
        <w:spacing w:after="0" w:line="240" w:lineRule="auto"/>
        <w:jc w:val="both"/>
        <w:rPr>
          <w:rFonts w:asciiTheme="minorHAnsi" w:hAnsiTheme="minorHAnsi" w:cs="Arial"/>
        </w:rPr>
      </w:pPr>
    </w:p>
    <w:p w14:paraId="7EA2FA7D"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Los Estados Financieros de los entes públicos, proveen de información financiera a los principales usuarios de la misma, al Congreso y a los ciudadanos.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4D709421" w14:textId="77777777" w:rsidR="007459C5" w:rsidRPr="007459C5" w:rsidRDefault="007459C5" w:rsidP="007459C5">
      <w:pPr>
        <w:spacing w:after="0" w:line="240" w:lineRule="auto"/>
        <w:jc w:val="both"/>
        <w:rPr>
          <w:rFonts w:asciiTheme="minorHAnsi" w:hAnsiTheme="minorHAnsi" w:cs="Arial"/>
        </w:rPr>
      </w:pPr>
    </w:p>
    <w:p w14:paraId="72EFA69A"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6ED7625F" w14:textId="77777777" w:rsidR="007459C5" w:rsidRPr="007459C5" w:rsidRDefault="007459C5" w:rsidP="007459C5">
      <w:pPr>
        <w:spacing w:after="0" w:line="240" w:lineRule="auto"/>
        <w:jc w:val="both"/>
        <w:rPr>
          <w:rFonts w:asciiTheme="minorHAnsi" w:hAnsiTheme="minorHAnsi" w:cs="Arial"/>
        </w:rPr>
      </w:pPr>
    </w:p>
    <w:p w14:paraId="57E5BD3D"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2399A833" w14:textId="77777777" w:rsidR="007459C5" w:rsidRPr="007459C5" w:rsidRDefault="007459C5" w:rsidP="007459C5">
      <w:pPr>
        <w:pStyle w:val="Prrafodelista"/>
        <w:spacing w:after="0" w:line="240" w:lineRule="auto"/>
        <w:jc w:val="both"/>
        <w:rPr>
          <w:rFonts w:asciiTheme="minorHAnsi" w:hAnsiTheme="minorHAnsi" w:cs="Arial"/>
        </w:rPr>
      </w:pPr>
    </w:p>
    <w:p w14:paraId="58D67A9A" w14:textId="77777777" w:rsidR="007459C5" w:rsidRPr="007459C5" w:rsidRDefault="007459C5" w:rsidP="007459C5">
      <w:pPr>
        <w:pStyle w:val="Prrafodelista"/>
        <w:numPr>
          <w:ilvl w:val="0"/>
          <w:numId w:val="1"/>
        </w:numPr>
        <w:spacing w:after="0" w:line="240" w:lineRule="auto"/>
        <w:jc w:val="both"/>
        <w:rPr>
          <w:rFonts w:asciiTheme="minorHAnsi" w:hAnsiTheme="minorHAnsi" w:cs="Arial"/>
        </w:rPr>
      </w:pPr>
      <w:r w:rsidRPr="007459C5">
        <w:rPr>
          <w:rFonts w:asciiTheme="minorHAnsi" w:hAnsiTheme="minorHAnsi" w:cs="Arial"/>
        </w:rPr>
        <w:t>Las notas de gestión administrativa deben contener los siguientes puntos:</w:t>
      </w:r>
    </w:p>
    <w:p w14:paraId="372A4A20" w14:textId="77777777" w:rsidR="007459C5" w:rsidRPr="007459C5" w:rsidRDefault="007459C5" w:rsidP="007459C5">
      <w:pPr>
        <w:spacing w:after="0" w:line="240" w:lineRule="auto"/>
        <w:jc w:val="both"/>
        <w:rPr>
          <w:rFonts w:asciiTheme="minorHAnsi" w:hAnsiTheme="minorHAnsi" w:cs="Arial"/>
          <w:b/>
        </w:rPr>
      </w:pPr>
    </w:p>
    <w:p w14:paraId="6C6A81D8" w14:textId="77777777" w:rsidR="007459C5" w:rsidRPr="007459C5" w:rsidRDefault="007459C5" w:rsidP="007459C5">
      <w:pPr>
        <w:jc w:val="both"/>
        <w:rPr>
          <w:rFonts w:asciiTheme="minorHAnsi" w:hAnsiTheme="minorHAnsi" w:cs="Arial"/>
          <w:b/>
        </w:rPr>
      </w:pPr>
    </w:p>
    <w:p w14:paraId="4D041B9A" w14:textId="77777777" w:rsidR="007459C5" w:rsidRPr="007459C5" w:rsidRDefault="007459C5" w:rsidP="007459C5">
      <w:pPr>
        <w:jc w:val="both"/>
        <w:rPr>
          <w:rFonts w:asciiTheme="minorHAnsi" w:hAnsiTheme="minorHAnsi" w:cs="Arial"/>
        </w:rPr>
      </w:pPr>
      <w:r w:rsidRPr="007459C5">
        <w:rPr>
          <w:rFonts w:asciiTheme="minorHAnsi" w:hAnsiTheme="minorHAnsi" w:cs="Arial"/>
          <w:b/>
        </w:rPr>
        <w:t>1. Introducción:</w:t>
      </w:r>
    </w:p>
    <w:p w14:paraId="31A3BE95" w14:textId="77777777" w:rsidR="007459C5" w:rsidRPr="007459C5" w:rsidRDefault="007459C5" w:rsidP="007459C5">
      <w:pPr>
        <w:jc w:val="both"/>
        <w:rPr>
          <w:rFonts w:asciiTheme="minorHAnsi" w:hAnsiTheme="minorHAnsi" w:cs="Arial"/>
        </w:rPr>
      </w:pPr>
      <w:r w:rsidRPr="007459C5">
        <w:rPr>
          <w:rFonts w:asciiTheme="minorHAnsi" w:hAnsiTheme="minorHAnsi" w:cs="Arial"/>
        </w:rPr>
        <w:t>Programas Educativos de Alfabetización y Educación Básica para Adultos dirigidos a las personas mayores de 15 años</w:t>
      </w:r>
    </w:p>
    <w:p w14:paraId="71D33996"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2. Describir el panorama Económico y Financiero</w:t>
      </w:r>
    </w:p>
    <w:p w14:paraId="4F551911" w14:textId="77777777" w:rsidR="007459C5" w:rsidRPr="007459C5" w:rsidRDefault="007459C5" w:rsidP="007459C5">
      <w:pPr>
        <w:jc w:val="both"/>
        <w:rPr>
          <w:rFonts w:asciiTheme="minorHAnsi" w:hAnsiTheme="minorHAnsi" w:cs="Arial"/>
        </w:rPr>
      </w:pPr>
      <w:r w:rsidRPr="007459C5">
        <w:rPr>
          <w:rFonts w:asciiTheme="minorHAnsi" w:hAnsiTheme="minorHAnsi" w:cs="Arial"/>
        </w:rPr>
        <w:t>Cumplimiento de las metas inicialmente planeadas, mediante el presupuesto asignado</w:t>
      </w:r>
    </w:p>
    <w:p w14:paraId="0EAF787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3. Autorización e Historia:</w:t>
      </w:r>
    </w:p>
    <w:p w14:paraId="7CAD5E85" w14:textId="77777777" w:rsidR="007459C5" w:rsidRPr="007459C5" w:rsidRDefault="007459C5" w:rsidP="007459C5">
      <w:pPr>
        <w:jc w:val="both"/>
        <w:rPr>
          <w:rFonts w:asciiTheme="minorHAnsi" w:hAnsiTheme="minorHAnsi" w:cs="Arial"/>
        </w:rPr>
      </w:pPr>
      <w:r w:rsidRPr="007459C5">
        <w:rPr>
          <w:rFonts w:asciiTheme="minorHAnsi" w:hAnsiTheme="minorHAnsi" w:cs="Arial"/>
        </w:rPr>
        <w:t>a) Fecha de creación del ente.</w:t>
      </w:r>
    </w:p>
    <w:p w14:paraId="221006BC" w14:textId="77777777" w:rsidR="007459C5" w:rsidRPr="007459C5" w:rsidRDefault="007459C5" w:rsidP="007459C5">
      <w:pPr>
        <w:jc w:val="both"/>
        <w:rPr>
          <w:rFonts w:asciiTheme="minorHAnsi" w:hAnsiTheme="minorHAnsi" w:cs="Arial"/>
        </w:rPr>
      </w:pPr>
      <w:r w:rsidRPr="007459C5">
        <w:rPr>
          <w:rFonts w:asciiTheme="minorHAnsi" w:hAnsiTheme="minorHAnsi" w:cs="Arial"/>
        </w:rPr>
        <w:t>27 de noviembre del 2012. Decreto Gubernativo Número 4</w:t>
      </w:r>
    </w:p>
    <w:p w14:paraId="5BDF1BDC" w14:textId="77777777" w:rsidR="007459C5" w:rsidRPr="007459C5" w:rsidRDefault="007459C5" w:rsidP="007459C5">
      <w:pPr>
        <w:jc w:val="both"/>
        <w:rPr>
          <w:rFonts w:asciiTheme="minorHAnsi" w:hAnsiTheme="minorHAnsi" w:cs="Arial"/>
        </w:rPr>
      </w:pPr>
      <w:r w:rsidRPr="007459C5">
        <w:rPr>
          <w:rFonts w:asciiTheme="minorHAnsi" w:hAnsiTheme="minorHAnsi" w:cs="Arial"/>
        </w:rPr>
        <w:t>b) Principales cambios en su estructura.</w:t>
      </w:r>
    </w:p>
    <w:p w14:paraId="193C9E4A" w14:textId="77777777" w:rsidR="007459C5" w:rsidRPr="007459C5" w:rsidRDefault="007459C5" w:rsidP="007459C5">
      <w:pPr>
        <w:jc w:val="both"/>
        <w:rPr>
          <w:rFonts w:asciiTheme="minorHAnsi" w:hAnsiTheme="minorHAnsi" w:cs="Arial"/>
        </w:rPr>
      </w:pPr>
      <w:r w:rsidRPr="007459C5">
        <w:rPr>
          <w:rFonts w:asciiTheme="minorHAnsi" w:hAnsiTheme="minorHAnsi" w:cs="Arial"/>
        </w:rPr>
        <w:t>Descentralización de Recursos Financieros, Humanos y Materiales por parte de la Federación al Instituto.</w:t>
      </w:r>
    </w:p>
    <w:p w14:paraId="45914EC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4. Organización y Objeto Social:</w:t>
      </w:r>
    </w:p>
    <w:p w14:paraId="72881696" w14:textId="77777777" w:rsidR="007459C5" w:rsidRPr="007459C5" w:rsidRDefault="007459C5" w:rsidP="007459C5">
      <w:pPr>
        <w:jc w:val="both"/>
        <w:rPr>
          <w:rFonts w:asciiTheme="minorHAnsi" w:hAnsiTheme="minorHAnsi" w:cs="Arial"/>
        </w:rPr>
      </w:pPr>
      <w:r w:rsidRPr="007459C5">
        <w:rPr>
          <w:rFonts w:asciiTheme="minorHAnsi" w:hAnsiTheme="minorHAnsi" w:cs="Arial"/>
        </w:rPr>
        <w:t>a) Objeto social.</w:t>
      </w:r>
    </w:p>
    <w:p w14:paraId="69D760B7" w14:textId="77777777" w:rsidR="007459C5" w:rsidRPr="007459C5" w:rsidRDefault="007459C5" w:rsidP="007459C5">
      <w:pPr>
        <w:tabs>
          <w:tab w:val="left" w:leader="underscore" w:pos="9923"/>
        </w:tabs>
        <w:jc w:val="both"/>
        <w:rPr>
          <w:rFonts w:asciiTheme="minorHAnsi" w:hAnsiTheme="minorHAnsi" w:cs="Arial"/>
        </w:rPr>
      </w:pPr>
      <w:r w:rsidRPr="007459C5">
        <w:rPr>
          <w:rFonts w:asciiTheme="minorHAnsi" w:hAnsiTheme="minorHAnsi" w:cs="Arial"/>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6A63FCD" w14:textId="77777777" w:rsidR="007459C5" w:rsidRPr="007459C5" w:rsidRDefault="007459C5" w:rsidP="007459C5">
      <w:pPr>
        <w:jc w:val="both"/>
        <w:rPr>
          <w:rFonts w:asciiTheme="minorHAnsi" w:hAnsiTheme="minorHAnsi" w:cs="Arial"/>
        </w:rPr>
      </w:pPr>
      <w:r w:rsidRPr="007459C5">
        <w:rPr>
          <w:rFonts w:asciiTheme="minorHAnsi" w:hAnsiTheme="minorHAnsi" w:cs="Arial"/>
        </w:rPr>
        <w:t>b) Principal actividad.</w:t>
      </w:r>
    </w:p>
    <w:p w14:paraId="32EA3D7E"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Atender a las personas mayores de 15 años que están fuera dl sistema educativo no formal, en la modalidad de alfabetización y educación básica, en sus niveles de primaria y secundaria.</w:t>
      </w:r>
    </w:p>
    <w:p w14:paraId="5F45D015" w14:textId="77777777" w:rsidR="007459C5" w:rsidRPr="007459C5" w:rsidRDefault="007459C5" w:rsidP="007459C5">
      <w:pPr>
        <w:jc w:val="both"/>
        <w:rPr>
          <w:rFonts w:asciiTheme="minorHAnsi" w:hAnsiTheme="minorHAnsi" w:cs="Arial"/>
        </w:rPr>
      </w:pPr>
      <w:r w:rsidRPr="007459C5">
        <w:rPr>
          <w:rFonts w:asciiTheme="minorHAnsi" w:hAnsiTheme="minorHAnsi" w:cs="Arial"/>
        </w:rPr>
        <w:t>c) Ejercicio fiscal.</w:t>
      </w:r>
    </w:p>
    <w:p w14:paraId="144C9025" w14:textId="77777777" w:rsidR="007459C5" w:rsidRPr="007459C5" w:rsidRDefault="007459C5" w:rsidP="007459C5">
      <w:pPr>
        <w:jc w:val="both"/>
        <w:rPr>
          <w:rFonts w:asciiTheme="minorHAnsi" w:hAnsiTheme="minorHAnsi" w:cs="Arial"/>
        </w:rPr>
      </w:pPr>
      <w:r w:rsidRPr="007459C5">
        <w:rPr>
          <w:rFonts w:asciiTheme="minorHAnsi" w:hAnsiTheme="minorHAnsi" w:cs="Arial"/>
        </w:rPr>
        <w:t>Enero – diciembre 2017</w:t>
      </w:r>
    </w:p>
    <w:p w14:paraId="58429F1A" w14:textId="77777777" w:rsidR="007459C5" w:rsidRPr="007459C5" w:rsidRDefault="007459C5" w:rsidP="007459C5">
      <w:pPr>
        <w:jc w:val="both"/>
        <w:rPr>
          <w:rFonts w:asciiTheme="minorHAnsi" w:hAnsiTheme="minorHAnsi" w:cs="Arial"/>
        </w:rPr>
      </w:pPr>
    </w:p>
    <w:p w14:paraId="0EDE831D" w14:textId="77777777" w:rsidR="007459C5" w:rsidRPr="007459C5" w:rsidRDefault="007459C5" w:rsidP="007459C5">
      <w:pPr>
        <w:jc w:val="both"/>
        <w:rPr>
          <w:rFonts w:asciiTheme="minorHAnsi" w:hAnsiTheme="minorHAnsi" w:cs="Arial"/>
        </w:rPr>
      </w:pPr>
      <w:r w:rsidRPr="007459C5">
        <w:rPr>
          <w:rFonts w:asciiTheme="minorHAnsi" w:hAnsiTheme="minorHAnsi" w:cs="Arial"/>
        </w:rPr>
        <w:t>d) Régimen jurídico.</w:t>
      </w:r>
    </w:p>
    <w:p w14:paraId="09589AC6" w14:textId="77777777" w:rsidR="007459C5" w:rsidRPr="007459C5" w:rsidRDefault="007459C5" w:rsidP="007459C5">
      <w:pPr>
        <w:jc w:val="both"/>
        <w:rPr>
          <w:rFonts w:asciiTheme="minorHAnsi" w:hAnsiTheme="minorHAnsi" w:cs="Arial"/>
        </w:rPr>
      </w:pPr>
      <w:r w:rsidRPr="007459C5">
        <w:rPr>
          <w:rFonts w:asciiTheme="minorHAnsi" w:hAnsiTheme="minorHAnsi" w:cs="Arial"/>
        </w:rPr>
        <w:t>Persona Moral sin fines lucrativos</w:t>
      </w:r>
    </w:p>
    <w:p w14:paraId="273649FD" w14:textId="77777777" w:rsidR="007459C5" w:rsidRPr="007459C5" w:rsidRDefault="007459C5" w:rsidP="007459C5">
      <w:pPr>
        <w:jc w:val="both"/>
        <w:rPr>
          <w:rFonts w:asciiTheme="minorHAnsi" w:hAnsiTheme="minorHAnsi" w:cs="Arial"/>
        </w:rPr>
      </w:pPr>
    </w:p>
    <w:p w14:paraId="68C14141" w14:textId="77777777" w:rsidR="007459C5" w:rsidRPr="007459C5" w:rsidRDefault="007459C5" w:rsidP="007459C5">
      <w:pPr>
        <w:jc w:val="both"/>
        <w:rPr>
          <w:rFonts w:asciiTheme="minorHAnsi" w:hAnsiTheme="minorHAnsi" w:cs="Arial"/>
        </w:rPr>
      </w:pPr>
      <w:r w:rsidRPr="007459C5">
        <w:rPr>
          <w:rFonts w:asciiTheme="minorHAnsi" w:hAnsiTheme="minorHAnsi" w:cs="Arial"/>
        </w:rPr>
        <w:t>e) Consideraciones fiscales del ente:</w:t>
      </w:r>
    </w:p>
    <w:p w14:paraId="58F14C5A"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14:paraId="3C0B0E8F" w14:textId="77777777" w:rsidR="007459C5" w:rsidRPr="007459C5" w:rsidRDefault="007459C5" w:rsidP="007459C5">
      <w:pPr>
        <w:jc w:val="both"/>
        <w:rPr>
          <w:rFonts w:asciiTheme="minorHAnsi" w:hAnsiTheme="minorHAnsi" w:cs="Arial"/>
        </w:rPr>
      </w:pPr>
      <w:r w:rsidRPr="007459C5">
        <w:rPr>
          <w:rFonts w:asciiTheme="minorHAnsi" w:hAnsiTheme="minorHAnsi" w:cs="Arial"/>
        </w:rPr>
        <w:t>f) Estructura organizacional básica.</w:t>
      </w:r>
    </w:p>
    <w:p w14:paraId="0F3A5314" w14:textId="5131F35A" w:rsidR="007459C5" w:rsidRPr="007459C5" w:rsidRDefault="007459C5" w:rsidP="007459C5">
      <w:pPr>
        <w:jc w:val="both"/>
        <w:rPr>
          <w:rFonts w:asciiTheme="minorHAnsi" w:hAnsiTheme="minorHAnsi" w:cs="Arial"/>
          <w:noProof/>
          <w:lang w:eastAsia="es-MX"/>
        </w:rPr>
      </w:pPr>
      <w:r w:rsidRPr="007459C5">
        <w:rPr>
          <w:rFonts w:asciiTheme="minorHAnsi" w:eastAsiaTheme="minorEastAsia" w:hAnsiTheme="minorHAnsi" w:cs="Arial"/>
          <w:lang w:eastAsia="es-MX"/>
        </w:rPr>
        <w:t xml:space="preserve"> </w:t>
      </w:r>
      <w:r w:rsidRPr="007459C5">
        <w:rPr>
          <w:rFonts w:asciiTheme="minorHAnsi" w:eastAsiaTheme="minorEastAsia" w:hAnsiTheme="minorHAnsi" w:cs="Arial"/>
          <w:lang w:eastAsia="es-MX"/>
        </w:rPr>
        <w:object w:dxaOrig="18139" w:dyaOrig="9273" w14:anchorId="2F41B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295.5pt" o:ole="">
            <v:imagedata r:id="rId11" o:title=""/>
          </v:shape>
          <o:OLEObject Type="Embed" ProgID="Unknown" ShapeID="_x0000_i1025" DrawAspect="Content" ObjectID="_1554111756" r:id="rId12"/>
        </w:object>
      </w:r>
    </w:p>
    <w:p w14:paraId="4B91D28C"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g) Fideicomisos, mandatos y análogos de los cuales es fideicomitente o fiduciario.</w:t>
      </w:r>
    </w:p>
    <w:p w14:paraId="34472C1D"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974138D"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5. Bases de Preparación de los Estados Financieros:</w:t>
      </w:r>
    </w:p>
    <w:p w14:paraId="651ED8D8" w14:textId="77777777" w:rsidR="007459C5" w:rsidRPr="007459C5" w:rsidRDefault="007459C5" w:rsidP="007459C5">
      <w:pPr>
        <w:jc w:val="both"/>
        <w:rPr>
          <w:rFonts w:asciiTheme="minorHAnsi" w:hAnsiTheme="minorHAnsi" w:cs="Arial"/>
        </w:rPr>
      </w:pPr>
      <w:r w:rsidRPr="007459C5">
        <w:rPr>
          <w:rFonts w:asciiTheme="minorHAnsi" w:hAnsiTheme="minorHAnsi" w:cs="Arial"/>
        </w:rPr>
        <w:t>a) Si se ha observado la normatividad emitida por el CONAC y las disposiciones legales aplicables.</w:t>
      </w:r>
    </w:p>
    <w:p w14:paraId="6B71C164"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Las Bases de Preparación de los Estados Financieros observan en cierta medida la normatividad emitida por el CONAC y las disposiciones legales aplicables </w:t>
      </w:r>
    </w:p>
    <w:p w14:paraId="0614FAE3" w14:textId="77777777" w:rsidR="007459C5" w:rsidRPr="007459C5" w:rsidRDefault="007459C5" w:rsidP="007459C5">
      <w:pPr>
        <w:jc w:val="both"/>
        <w:rPr>
          <w:rFonts w:asciiTheme="minorHAnsi" w:hAnsiTheme="minorHAnsi" w:cs="Arial"/>
        </w:rPr>
      </w:pPr>
      <w:r w:rsidRPr="007459C5">
        <w:rPr>
          <w:rFonts w:asciiTheme="minorHAnsi" w:hAnsiTheme="minorHAnsi" w:cs="Arial"/>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DE99D1F"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363D931E" w14:textId="77777777" w:rsidR="007459C5" w:rsidRPr="007459C5" w:rsidRDefault="007459C5" w:rsidP="007459C5">
      <w:pPr>
        <w:jc w:val="both"/>
        <w:rPr>
          <w:rFonts w:asciiTheme="minorHAnsi" w:hAnsiTheme="minorHAnsi" w:cs="Arial"/>
        </w:rPr>
      </w:pPr>
      <w:r w:rsidRPr="007459C5">
        <w:rPr>
          <w:rFonts w:asciiTheme="minorHAnsi" w:hAnsiTheme="minorHAnsi" w:cs="Arial"/>
        </w:rPr>
        <w:t>c) Postulados básicos.</w:t>
      </w:r>
    </w:p>
    <w:p w14:paraId="7341AC41" w14:textId="77777777" w:rsidR="007459C5" w:rsidRPr="007459C5" w:rsidRDefault="007459C5" w:rsidP="007459C5">
      <w:pPr>
        <w:jc w:val="both"/>
        <w:rPr>
          <w:rFonts w:asciiTheme="minorHAnsi" w:hAnsiTheme="minorHAnsi" w:cs="Arial"/>
        </w:rPr>
      </w:pPr>
      <w:r w:rsidRPr="007459C5">
        <w:rPr>
          <w:rFonts w:asciiTheme="minorHAnsi" w:hAnsiTheme="minorHAnsi" w:cs="Arial"/>
        </w:rPr>
        <w:t>Las Bases de Preparación de los Estados Financieros aplican los Postulados Básicos de Registro Contable, el devengo del ingreso, entre otros, aún se encuentra en fase de desarrollo de los diferentes rubros de la información financiera</w:t>
      </w:r>
    </w:p>
    <w:p w14:paraId="397A28F5" w14:textId="77777777" w:rsidR="007459C5" w:rsidRPr="007459C5" w:rsidRDefault="007459C5" w:rsidP="007459C5">
      <w:pPr>
        <w:jc w:val="both"/>
        <w:rPr>
          <w:rFonts w:asciiTheme="minorHAnsi" w:hAnsiTheme="minorHAnsi" w:cs="Arial"/>
        </w:rPr>
      </w:pPr>
      <w:r w:rsidRPr="007459C5">
        <w:rPr>
          <w:rFonts w:asciiTheme="minorHAnsi" w:hAnsiTheme="minorHAnsi" w:cs="Arial"/>
        </w:rPr>
        <w:t>d) Normatividad supletoria.</w:t>
      </w:r>
    </w:p>
    <w:p w14:paraId="1E8215D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F8CED4F" w14:textId="77777777" w:rsidR="007459C5" w:rsidRPr="007459C5" w:rsidRDefault="007459C5" w:rsidP="007459C5">
      <w:pPr>
        <w:jc w:val="both"/>
        <w:rPr>
          <w:rFonts w:asciiTheme="minorHAnsi" w:hAnsiTheme="minorHAnsi" w:cs="Arial"/>
        </w:rPr>
      </w:pPr>
    </w:p>
    <w:p w14:paraId="5C78FAD7" w14:textId="77777777" w:rsidR="007459C5" w:rsidRPr="007459C5" w:rsidRDefault="007459C5" w:rsidP="007459C5">
      <w:pPr>
        <w:jc w:val="both"/>
        <w:rPr>
          <w:rFonts w:asciiTheme="minorHAnsi" w:hAnsiTheme="minorHAnsi" w:cs="Arial"/>
        </w:rPr>
      </w:pPr>
      <w:r w:rsidRPr="007459C5">
        <w:rPr>
          <w:rFonts w:asciiTheme="minorHAnsi" w:hAnsiTheme="minorHAnsi" w:cs="Arial"/>
        </w:rPr>
        <w:t>e) Para las entidades que por primera vez estén implementando la base devengado de acuerdo a la Ley de Contabilidad, deberán:</w:t>
      </w:r>
    </w:p>
    <w:p w14:paraId="283BEFC9"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Revelar las nuevas políticas de reconocimiento:</w:t>
      </w:r>
    </w:p>
    <w:p w14:paraId="1E6AB828"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Plan de implementación:</w:t>
      </w:r>
    </w:p>
    <w:p w14:paraId="7F278A9A"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Revelar los cambios en las políticas, la clasificación y medición de las mismas, así como su impacto en la información financiera:</w:t>
      </w:r>
    </w:p>
    <w:p w14:paraId="2AFD3F5E"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Firmar los EEFF de los Organismos Descentralizados solicitados por el CONAC publicados en el DOF y PO </w:t>
      </w:r>
    </w:p>
    <w:p w14:paraId="5074B1B8"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Presentar los últimos estados financieros con la normatividad anteriormente utilizada con las nuevas políticas para fines de comparación en la transición a la base devengado.</w:t>
      </w:r>
    </w:p>
    <w:p w14:paraId="27D2BF01" w14:textId="77777777" w:rsidR="007459C5" w:rsidRPr="007459C5" w:rsidRDefault="007459C5" w:rsidP="007459C5">
      <w:pPr>
        <w:jc w:val="both"/>
        <w:rPr>
          <w:rFonts w:asciiTheme="minorHAnsi" w:hAnsiTheme="minorHAnsi" w:cs="Arial"/>
        </w:rPr>
      </w:pPr>
    </w:p>
    <w:p w14:paraId="5AF65710"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6. Políticas de Contabilidad Significativas:</w:t>
      </w:r>
    </w:p>
    <w:p w14:paraId="3776E884" w14:textId="77777777" w:rsidR="007459C5" w:rsidRPr="007459C5" w:rsidRDefault="007459C5" w:rsidP="007459C5">
      <w:pPr>
        <w:jc w:val="both"/>
        <w:rPr>
          <w:rFonts w:asciiTheme="minorHAnsi" w:hAnsiTheme="minorHAnsi" w:cs="Arial"/>
        </w:rPr>
      </w:pPr>
      <w:r w:rsidRPr="007459C5">
        <w:rPr>
          <w:rFonts w:asciiTheme="minorHAnsi" w:hAnsiTheme="minorHAnsi" w:cs="Arial"/>
        </w:rPr>
        <w:t>a) Actualización:</w:t>
      </w:r>
    </w:p>
    <w:p w14:paraId="67C2D26A" w14:textId="77777777" w:rsidR="007459C5" w:rsidRPr="007459C5" w:rsidRDefault="007459C5" w:rsidP="007459C5">
      <w:pPr>
        <w:jc w:val="both"/>
        <w:rPr>
          <w:rFonts w:asciiTheme="minorHAnsi" w:hAnsiTheme="minorHAnsi" w:cs="Arial"/>
        </w:rPr>
      </w:pPr>
      <w:r w:rsidRPr="007459C5">
        <w:rPr>
          <w:rFonts w:asciiTheme="minorHAnsi" w:hAnsiTheme="minorHAnsi" w:cs="Arial"/>
        </w:rPr>
        <w:t>b) Informar sobre la realización de operaciones en el extranjero y de sus efectos en la información financiera gubernamental:</w:t>
      </w:r>
    </w:p>
    <w:p w14:paraId="380F0AC5"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341CEE60" w14:textId="77777777" w:rsidR="007459C5" w:rsidRPr="007459C5" w:rsidRDefault="007459C5" w:rsidP="007459C5">
      <w:pPr>
        <w:jc w:val="both"/>
        <w:rPr>
          <w:rFonts w:asciiTheme="minorHAnsi" w:hAnsiTheme="minorHAnsi" w:cs="Arial"/>
        </w:rPr>
      </w:pPr>
      <w:r w:rsidRPr="007459C5">
        <w:rPr>
          <w:rFonts w:asciiTheme="minorHAnsi" w:hAnsiTheme="minorHAnsi" w:cs="Arial"/>
        </w:rPr>
        <w:t>c) Método de valuación de la inversión en acciones de Compañías subsidiarias no consolidadas y asociadas:</w:t>
      </w:r>
    </w:p>
    <w:p w14:paraId="54F1A54D"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55F5F4D" w14:textId="77777777" w:rsidR="007459C5" w:rsidRPr="007459C5" w:rsidRDefault="007459C5" w:rsidP="007459C5">
      <w:pPr>
        <w:jc w:val="both"/>
        <w:rPr>
          <w:rFonts w:asciiTheme="minorHAnsi" w:hAnsiTheme="minorHAnsi" w:cs="Arial"/>
        </w:rPr>
      </w:pPr>
      <w:r w:rsidRPr="007459C5">
        <w:rPr>
          <w:rFonts w:asciiTheme="minorHAnsi" w:hAnsiTheme="minorHAnsi" w:cs="Arial"/>
        </w:rPr>
        <w:t>d) Sistema y método de valuación de inventarios y costo de lo vendido:</w:t>
      </w:r>
    </w:p>
    <w:p w14:paraId="46D7EF2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64FD9CE1" w14:textId="77777777" w:rsidR="007459C5" w:rsidRPr="007459C5" w:rsidRDefault="007459C5" w:rsidP="007459C5">
      <w:pPr>
        <w:jc w:val="both"/>
        <w:rPr>
          <w:rFonts w:asciiTheme="minorHAnsi" w:hAnsiTheme="minorHAnsi" w:cs="Arial"/>
        </w:rPr>
      </w:pPr>
      <w:r w:rsidRPr="007459C5">
        <w:rPr>
          <w:rFonts w:asciiTheme="minorHAnsi" w:hAnsiTheme="minorHAnsi" w:cs="Arial"/>
        </w:rPr>
        <w:t>e) Beneficios a empleados:</w:t>
      </w:r>
    </w:p>
    <w:p w14:paraId="7078400C" w14:textId="77777777" w:rsidR="007459C5" w:rsidRPr="007459C5" w:rsidRDefault="007459C5" w:rsidP="007459C5">
      <w:pPr>
        <w:jc w:val="both"/>
        <w:rPr>
          <w:rFonts w:asciiTheme="minorHAnsi" w:hAnsiTheme="minorHAnsi" w:cs="Arial"/>
        </w:rPr>
      </w:pPr>
      <w:r w:rsidRPr="007459C5">
        <w:rPr>
          <w:rFonts w:asciiTheme="minorHAnsi" w:hAnsiTheme="minorHAnsi" w:cs="Arial"/>
        </w:rPr>
        <w:t>f) Provisiones:</w:t>
      </w:r>
    </w:p>
    <w:p w14:paraId="503E042B"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632D08A" w14:textId="77777777" w:rsidR="007459C5" w:rsidRPr="007459C5" w:rsidRDefault="007459C5" w:rsidP="007459C5">
      <w:pPr>
        <w:jc w:val="both"/>
        <w:rPr>
          <w:rFonts w:asciiTheme="minorHAnsi" w:hAnsiTheme="minorHAnsi" w:cs="Arial"/>
        </w:rPr>
      </w:pPr>
      <w:r w:rsidRPr="007459C5">
        <w:rPr>
          <w:rFonts w:asciiTheme="minorHAnsi" w:hAnsiTheme="minorHAnsi" w:cs="Arial"/>
        </w:rPr>
        <w:t>g) Reservas:</w:t>
      </w:r>
    </w:p>
    <w:p w14:paraId="1677460E"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8C74DBD" w14:textId="77777777" w:rsidR="007459C5" w:rsidRPr="007459C5" w:rsidRDefault="007459C5" w:rsidP="007459C5">
      <w:pPr>
        <w:jc w:val="both"/>
        <w:rPr>
          <w:rFonts w:asciiTheme="minorHAnsi" w:hAnsiTheme="minorHAnsi" w:cs="Arial"/>
        </w:rPr>
      </w:pPr>
      <w:r w:rsidRPr="007459C5">
        <w:rPr>
          <w:rFonts w:asciiTheme="minorHAnsi" w:hAnsiTheme="minorHAnsi" w:cs="Arial"/>
        </w:rPr>
        <w:t>h) Cambios en políticas contables y corrección de errores junto con la revelación de los efectos que se tendrá en la información financiera del ente público, ya sea retrospectivos o prospectivos:</w:t>
      </w:r>
    </w:p>
    <w:p w14:paraId="10FE56E1"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w:t>
      </w:r>
    </w:p>
    <w:p w14:paraId="0857BC1A" w14:textId="77777777" w:rsidR="007459C5" w:rsidRPr="007459C5" w:rsidRDefault="007459C5" w:rsidP="007459C5">
      <w:pPr>
        <w:jc w:val="both"/>
        <w:rPr>
          <w:rFonts w:asciiTheme="minorHAnsi" w:hAnsiTheme="minorHAnsi" w:cs="Arial"/>
        </w:rPr>
      </w:pPr>
      <w:r w:rsidRPr="007459C5">
        <w:rPr>
          <w:rFonts w:asciiTheme="minorHAnsi" w:hAnsiTheme="minorHAnsi" w:cs="Arial"/>
        </w:rPr>
        <w:t>i) Reclasificaciones: No aplica</w:t>
      </w:r>
    </w:p>
    <w:p w14:paraId="28D7D410" w14:textId="77777777" w:rsidR="007459C5" w:rsidRPr="007459C5" w:rsidRDefault="007459C5" w:rsidP="007459C5">
      <w:pPr>
        <w:jc w:val="both"/>
        <w:rPr>
          <w:rFonts w:asciiTheme="minorHAnsi" w:hAnsiTheme="minorHAnsi" w:cs="Arial"/>
        </w:rPr>
      </w:pPr>
      <w:r w:rsidRPr="007459C5">
        <w:rPr>
          <w:rFonts w:asciiTheme="minorHAnsi" w:hAnsiTheme="minorHAnsi" w:cs="Arial"/>
        </w:rPr>
        <w:t>j) Depuración y cancelación de saldos: No aplica</w:t>
      </w:r>
    </w:p>
    <w:p w14:paraId="7AEF4080" w14:textId="77777777" w:rsidR="007459C5" w:rsidRPr="007459C5" w:rsidRDefault="007459C5" w:rsidP="007459C5">
      <w:pPr>
        <w:jc w:val="both"/>
        <w:rPr>
          <w:rFonts w:asciiTheme="minorHAnsi" w:hAnsiTheme="minorHAnsi" w:cs="Arial"/>
          <w:b/>
        </w:rPr>
      </w:pPr>
    </w:p>
    <w:p w14:paraId="478A74C5"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7. Posición en Moneda Extranjera y Protección por Riesgo Cambiario:</w:t>
      </w:r>
    </w:p>
    <w:p w14:paraId="25AE9697" w14:textId="77777777" w:rsidR="007459C5" w:rsidRPr="007459C5" w:rsidRDefault="007459C5" w:rsidP="007459C5">
      <w:pPr>
        <w:jc w:val="both"/>
        <w:rPr>
          <w:rFonts w:asciiTheme="minorHAnsi" w:hAnsiTheme="minorHAnsi" w:cs="Arial"/>
        </w:rPr>
      </w:pPr>
      <w:r w:rsidRPr="007459C5">
        <w:rPr>
          <w:rFonts w:asciiTheme="minorHAnsi" w:hAnsiTheme="minorHAnsi" w:cs="Arial"/>
        </w:rPr>
        <w:t>a) Activos en moneda extranjera:</w:t>
      </w:r>
    </w:p>
    <w:p w14:paraId="35D3DD5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aplica_</w:t>
      </w:r>
    </w:p>
    <w:p w14:paraId="1BDF658B" w14:textId="77777777" w:rsidR="007459C5" w:rsidRPr="007459C5" w:rsidRDefault="007459C5" w:rsidP="007459C5">
      <w:pPr>
        <w:jc w:val="both"/>
        <w:rPr>
          <w:rFonts w:asciiTheme="minorHAnsi" w:hAnsiTheme="minorHAnsi" w:cs="Arial"/>
        </w:rPr>
      </w:pPr>
      <w:r w:rsidRPr="007459C5">
        <w:rPr>
          <w:rFonts w:asciiTheme="minorHAnsi" w:hAnsiTheme="minorHAnsi" w:cs="Arial"/>
        </w:rPr>
        <w:t>b) Pasivos en moneda extranjera:</w:t>
      </w:r>
    </w:p>
    <w:p w14:paraId="6447408A"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No aplica</w:t>
      </w:r>
    </w:p>
    <w:p w14:paraId="1C83CD12" w14:textId="77777777" w:rsidR="007459C5" w:rsidRPr="007459C5" w:rsidRDefault="007459C5" w:rsidP="007459C5">
      <w:pPr>
        <w:jc w:val="both"/>
        <w:rPr>
          <w:rFonts w:asciiTheme="minorHAnsi" w:hAnsiTheme="minorHAnsi" w:cs="Arial"/>
        </w:rPr>
      </w:pPr>
      <w:r w:rsidRPr="007459C5">
        <w:rPr>
          <w:rFonts w:asciiTheme="minorHAnsi" w:hAnsiTheme="minorHAnsi" w:cs="Arial"/>
        </w:rPr>
        <w:t>c) Posición en moneda extranjera:</w:t>
      </w:r>
    </w:p>
    <w:p w14:paraId="075EE457"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E6A84F1" w14:textId="77777777" w:rsidR="007459C5" w:rsidRPr="007459C5" w:rsidRDefault="007459C5" w:rsidP="007459C5">
      <w:pPr>
        <w:jc w:val="both"/>
        <w:rPr>
          <w:rFonts w:asciiTheme="minorHAnsi" w:hAnsiTheme="minorHAnsi" w:cs="Arial"/>
        </w:rPr>
      </w:pPr>
      <w:r w:rsidRPr="007459C5">
        <w:rPr>
          <w:rFonts w:asciiTheme="minorHAnsi" w:hAnsiTheme="minorHAnsi" w:cs="Arial"/>
        </w:rPr>
        <w:t>d) Tipo de cambio:</w:t>
      </w:r>
    </w:p>
    <w:p w14:paraId="377AF94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03B8F514" w14:textId="77777777" w:rsidR="007459C5" w:rsidRPr="007459C5" w:rsidRDefault="007459C5" w:rsidP="007459C5">
      <w:pPr>
        <w:jc w:val="both"/>
        <w:rPr>
          <w:rFonts w:asciiTheme="minorHAnsi" w:hAnsiTheme="minorHAnsi" w:cs="Arial"/>
        </w:rPr>
      </w:pPr>
      <w:r w:rsidRPr="007459C5">
        <w:rPr>
          <w:rFonts w:asciiTheme="minorHAnsi" w:hAnsiTheme="minorHAnsi" w:cs="Arial"/>
        </w:rPr>
        <w:t>e) Equivalente en moneda nacional:</w:t>
      </w:r>
    </w:p>
    <w:p w14:paraId="699EB82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090BEA12" w14:textId="77777777" w:rsidR="007459C5" w:rsidRPr="007459C5" w:rsidRDefault="007459C5" w:rsidP="007459C5">
      <w:pPr>
        <w:jc w:val="both"/>
        <w:rPr>
          <w:rFonts w:asciiTheme="minorHAnsi" w:hAnsiTheme="minorHAnsi" w:cs="Arial"/>
        </w:rPr>
      </w:pPr>
      <w:r w:rsidRPr="007459C5">
        <w:rPr>
          <w:rFonts w:asciiTheme="minorHAnsi" w:hAnsiTheme="minorHAnsi" w:cs="Arial"/>
        </w:rPr>
        <w:t>Lo anterior por cada tipo de moneda extranjera que se encuentre en los rubros de activo y pasivo.</w:t>
      </w:r>
    </w:p>
    <w:p w14:paraId="291F5A9B" w14:textId="77777777" w:rsidR="007459C5" w:rsidRPr="007459C5" w:rsidRDefault="007459C5" w:rsidP="007459C5">
      <w:pPr>
        <w:jc w:val="both"/>
        <w:rPr>
          <w:rFonts w:asciiTheme="minorHAnsi" w:hAnsiTheme="minorHAnsi" w:cs="Arial"/>
        </w:rPr>
      </w:pPr>
      <w:r w:rsidRPr="007459C5">
        <w:rPr>
          <w:rFonts w:asciiTheme="minorHAnsi" w:hAnsiTheme="minorHAnsi" w:cs="Arial"/>
        </w:rPr>
        <w:t>Adicionalmente se informará sobre los métodos de protección de riesgo por variaciones en el tipo de cambio.</w:t>
      </w:r>
    </w:p>
    <w:p w14:paraId="32E3AA47"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8. Reporte Analítico del Activo:</w:t>
      </w:r>
    </w:p>
    <w:p w14:paraId="63082195" w14:textId="77777777" w:rsidR="007459C5" w:rsidRPr="007459C5" w:rsidRDefault="007459C5" w:rsidP="007459C5">
      <w:pPr>
        <w:jc w:val="both"/>
        <w:rPr>
          <w:rFonts w:asciiTheme="minorHAnsi" w:hAnsiTheme="minorHAnsi" w:cs="Arial"/>
        </w:rPr>
      </w:pPr>
      <w:r w:rsidRPr="007459C5">
        <w:rPr>
          <w:rFonts w:asciiTheme="minorHAnsi" w:hAnsiTheme="minorHAnsi" w:cs="Arial"/>
        </w:rPr>
        <w:t>a) Vida útil o porcentajes de depreciación, deterioro o amortización utilizados en los diferentes tipos de activos:</w:t>
      </w:r>
    </w:p>
    <w:p w14:paraId="49FD4F62" w14:textId="77777777" w:rsidR="007459C5" w:rsidRPr="007459C5" w:rsidRDefault="007459C5" w:rsidP="007459C5">
      <w:pPr>
        <w:jc w:val="both"/>
        <w:rPr>
          <w:rFonts w:asciiTheme="minorHAnsi" w:hAnsiTheme="minorHAnsi" w:cs="Arial"/>
        </w:rPr>
      </w:pPr>
      <w:r w:rsidRPr="007459C5">
        <w:rPr>
          <w:rFonts w:asciiTheme="minorHAnsi" w:hAnsiTheme="minorHAnsi" w:cs="Arial"/>
        </w:rPr>
        <w:t>b) Cambios en el porcentaje de depreciación o valor residual de los activos:</w:t>
      </w:r>
    </w:p>
    <w:p w14:paraId="15DB3EEB"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De conformidad con la norma de CONAC y los alcances del SIHP, actualmente sólo pueden considerarse las 40 clases de activos vigentes. </w:t>
      </w:r>
    </w:p>
    <w:p w14:paraId="17096875" w14:textId="77777777" w:rsidR="007459C5" w:rsidRPr="007459C5" w:rsidRDefault="007459C5" w:rsidP="007459C5">
      <w:pPr>
        <w:jc w:val="both"/>
        <w:rPr>
          <w:rFonts w:asciiTheme="minorHAnsi" w:hAnsiTheme="minorHAnsi" w:cs="Arial"/>
        </w:rPr>
      </w:pPr>
      <w:r w:rsidRPr="007459C5">
        <w:rPr>
          <w:rFonts w:asciiTheme="minorHAnsi" w:hAnsiTheme="minorHAnsi" w:cs="Arial"/>
        </w:rPr>
        <w:t>c) Importe de los gastos capitalizados en el ejercicio, tanto financieros como de investigación y desarrollo:</w:t>
      </w:r>
    </w:p>
    <w:p w14:paraId="5EF914FD" w14:textId="77777777" w:rsidR="007459C5" w:rsidRPr="007459C5" w:rsidRDefault="007459C5" w:rsidP="007459C5">
      <w:pPr>
        <w:jc w:val="both"/>
        <w:rPr>
          <w:rFonts w:asciiTheme="minorHAnsi" w:hAnsiTheme="minorHAnsi" w:cs="Arial"/>
        </w:rPr>
      </w:pPr>
      <w:r w:rsidRPr="007459C5">
        <w:rPr>
          <w:rFonts w:asciiTheme="minorHAnsi" w:hAnsiTheme="minorHAnsi" w:cs="Arial"/>
        </w:rPr>
        <w:t>d) Riegos por tipo de cambio o tipo de interés de las inversiones financieras:</w:t>
      </w:r>
    </w:p>
    <w:p w14:paraId="14A70880"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66FDE120" w14:textId="77777777" w:rsidR="007459C5" w:rsidRPr="007459C5" w:rsidRDefault="007459C5" w:rsidP="007459C5">
      <w:pPr>
        <w:jc w:val="both"/>
        <w:rPr>
          <w:rFonts w:asciiTheme="minorHAnsi" w:hAnsiTheme="minorHAnsi" w:cs="Arial"/>
        </w:rPr>
      </w:pPr>
      <w:r w:rsidRPr="007459C5">
        <w:rPr>
          <w:rFonts w:asciiTheme="minorHAnsi" w:hAnsiTheme="minorHAnsi" w:cs="Arial"/>
        </w:rPr>
        <w:t>e) Valor activado en el ejercicio de los bienes construidos por la entidad:</w:t>
      </w:r>
    </w:p>
    <w:p w14:paraId="34B28588"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3FB98461" w14:textId="77777777" w:rsidR="007459C5" w:rsidRPr="007459C5" w:rsidRDefault="007459C5" w:rsidP="007459C5">
      <w:pPr>
        <w:jc w:val="both"/>
        <w:rPr>
          <w:rFonts w:asciiTheme="minorHAnsi" w:hAnsiTheme="minorHAnsi" w:cs="Arial"/>
        </w:rPr>
      </w:pPr>
      <w:r w:rsidRPr="007459C5">
        <w:rPr>
          <w:rFonts w:asciiTheme="minorHAnsi" w:hAnsiTheme="minorHAnsi" w:cs="Arial"/>
        </w:rPr>
        <w:t>f) Otras circunstancias de carácter significativo que afecten el activo, tales como bienes en garantía, señalados en embargos, litigios, títulos de inversiones entregados en garantías, baja significativa del valor de inversiones financieras, etc.:</w:t>
      </w:r>
    </w:p>
    <w:p w14:paraId="4B184C23"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E2DBED1" w14:textId="77777777" w:rsidR="007459C5" w:rsidRPr="007459C5" w:rsidRDefault="007459C5" w:rsidP="007459C5">
      <w:pPr>
        <w:jc w:val="both"/>
        <w:rPr>
          <w:rFonts w:asciiTheme="minorHAnsi" w:hAnsiTheme="minorHAnsi" w:cs="Arial"/>
        </w:rPr>
      </w:pPr>
      <w:r w:rsidRPr="007459C5">
        <w:rPr>
          <w:rFonts w:asciiTheme="minorHAnsi" w:hAnsiTheme="minorHAnsi" w:cs="Arial"/>
        </w:rPr>
        <w:t>g) Desmantelamiento de Activos, procedimientos, implicaciones, efectos contables:</w:t>
      </w:r>
    </w:p>
    <w:p w14:paraId="3BFE4B8A"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5A4D177" w14:textId="77777777" w:rsidR="007459C5" w:rsidRPr="007459C5" w:rsidRDefault="007459C5" w:rsidP="007459C5">
      <w:pPr>
        <w:jc w:val="both"/>
        <w:rPr>
          <w:rFonts w:asciiTheme="minorHAnsi" w:hAnsiTheme="minorHAnsi" w:cs="Arial"/>
        </w:rPr>
      </w:pPr>
      <w:r w:rsidRPr="007459C5">
        <w:rPr>
          <w:rFonts w:asciiTheme="minorHAnsi" w:hAnsiTheme="minorHAnsi" w:cs="Arial"/>
        </w:rPr>
        <w:t>h) Administración de activos; planeación con el objetivo de que el ente los utilice de manera más efectiva:</w:t>
      </w:r>
    </w:p>
    <w:p w14:paraId="3F047E06"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No aplica</w:t>
      </w:r>
    </w:p>
    <w:p w14:paraId="2A638412" w14:textId="77777777" w:rsidR="007459C5" w:rsidRPr="007459C5" w:rsidRDefault="007459C5" w:rsidP="007459C5">
      <w:pPr>
        <w:jc w:val="both"/>
        <w:rPr>
          <w:rFonts w:asciiTheme="minorHAnsi" w:hAnsiTheme="minorHAnsi" w:cs="Arial"/>
        </w:rPr>
      </w:pPr>
      <w:r w:rsidRPr="007459C5">
        <w:rPr>
          <w:rFonts w:asciiTheme="minorHAnsi" w:hAnsiTheme="minorHAnsi" w:cs="Arial"/>
        </w:rPr>
        <w:t>Adicionalmente, se deben incluir las explicaciones de las principales variaciones en el activo, en cuadros comparativos como sigue:</w:t>
      </w:r>
    </w:p>
    <w:p w14:paraId="46CE82DA" w14:textId="77777777" w:rsidR="007459C5" w:rsidRPr="007459C5" w:rsidRDefault="007459C5" w:rsidP="007459C5">
      <w:pPr>
        <w:jc w:val="both"/>
        <w:rPr>
          <w:rFonts w:asciiTheme="minorHAnsi" w:hAnsiTheme="minorHAnsi" w:cs="Arial"/>
        </w:rPr>
      </w:pPr>
      <w:r w:rsidRPr="007459C5">
        <w:rPr>
          <w:rFonts w:asciiTheme="minorHAnsi" w:hAnsiTheme="minorHAnsi" w:cs="Arial"/>
        </w:rPr>
        <w:t>a) Inversiones en valores:</w:t>
      </w:r>
    </w:p>
    <w:p w14:paraId="7B7EB6A4"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47319C6D" w14:textId="77777777" w:rsidR="007459C5" w:rsidRPr="007459C5" w:rsidRDefault="007459C5" w:rsidP="007459C5">
      <w:pPr>
        <w:jc w:val="both"/>
        <w:rPr>
          <w:rFonts w:asciiTheme="minorHAnsi" w:hAnsiTheme="minorHAnsi" w:cs="Arial"/>
        </w:rPr>
      </w:pPr>
      <w:r w:rsidRPr="007459C5">
        <w:rPr>
          <w:rFonts w:asciiTheme="minorHAnsi" w:hAnsiTheme="minorHAnsi" w:cs="Arial"/>
        </w:rPr>
        <w:t>b) Patrimonio de Organismos descentralizados de Control Presupuestario Indirecto:</w:t>
      </w:r>
    </w:p>
    <w:p w14:paraId="554ADC56" w14:textId="77777777" w:rsidR="007459C5" w:rsidRPr="007459C5" w:rsidRDefault="007459C5" w:rsidP="007459C5">
      <w:pPr>
        <w:jc w:val="both"/>
        <w:rPr>
          <w:rFonts w:asciiTheme="minorHAnsi" w:hAnsiTheme="minorHAnsi" w:cs="Arial"/>
        </w:rPr>
      </w:pPr>
      <w:r w:rsidRPr="007459C5">
        <w:rPr>
          <w:rFonts w:asciiTheme="minorHAnsi" w:hAnsiTheme="minorHAnsi" w:cs="Arial"/>
        </w:rPr>
        <w:t>c) Inversiones en empresas de participación mayoritaria:</w:t>
      </w:r>
    </w:p>
    <w:p w14:paraId="33F3A7CF"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5797E80" w14:textId="77777777" w:rsidR="007459C5" w:rsidRPr="007459C5" w:rsidRDefault="007459C5" w:rsidP="007459C5">
      <w:pPr>
        <w:jc w:val="both"/>
        <w:rPr>
          <w:rFonts w:asciiTheme="minorHAnsi" w:hAnsiTheme="minorHAnsi" w:cs="Arial"/>
        </w:rPr>
      </w:pPr>
      <w:r w:rsidRPr="007459C5">
        <w:rPr>
          <w:rFonts w:asciiTheme="minorHAnsi" w:hAnsiTheme="minorHAnsi" w:cs="Arial"/>
        </w:rPr>
        <w:t>d) Inversiones en empresas de participación minoritaria:</w:t>
      </w:r>
    </w:p>
    <w:p w14:paraId="40F6C73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6459D90" w14:textId="77777777" w:rsidR="007459C5" w:rsidRPr="007459C5" w:rsidRDefault="007459C5" w:rsidP="007459C5">
      <w:pPr>
        <w:jc w:val="both"/>
        <w:rPr>
          <w:rFonts w:asciiTheme="minorHAnsi" w:hAnsiTheme="minorHAnsi" w:cs="Arial"/>
        </w:rPr>
      </w:pPr>
      <w:r w:rsidRPr="007459C5">
        <w:rPr>
          <w:rFonts w:asciiTheme="minorHAnsi" w:hAnsiTheme="minorHAnsi" w:cs="Arial"/>
        </w:rPr>
        <w:t>e) Patrimonio de organismos descentralizados de control presupuestario directo, según corresponda:</w:t>
      </w:r>
    </w:p>
    <w:p w14:paraId="47BA7E92" w14:textId="77777777" w:rsidR="007459C5" w:rsidRPr="007459C5" w:rsidRDefault="007459C5" w:rsidP="007459C5">
      <w:pPr>
        <w:jc w:val="both"/>
        <w:rPr>
          <w:rFonts w:asciiTheme="minorHAnsi" w:hAnsiTheme="minorHAnsi" w:cs="Arial"/>
          <w:b/>
        </w:rPr>
      </w:pPr>
    </w:p>
    <w:p w14:paraId="58967809"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9. Fideicomisos, Mandatos y Análogos:</w:t>
      </w:r>
    </w:p>
    <w:p w14:paraId="1F87D8AC" w14:textId="77777777" w:rsidR="007459C5" w:rsidRPr="007459C5" w:rsidRDefault="007459C5" w:rsidP="007459C5">
      <w:pPr>
        <w:jc w:val="both"/>
        <w:rPr>
          <w:rFonts w:asciiTheme="minorHAnsi" w:hAnsiTheme="minorHAnsi" w:cs="Arial"/>
        </w:rPr>
      </w:pPr>
      <w:r w:rsidRPr="007459C5">
        <w:rPr>
          <w:rFonts w:asciiTheme="minorHAnsi" w:hAnsiTheme="minorHAnsi" w:cs="Arial"/>
        </w:rPr>
        <w:t>a) Por ramo administrativo que los reporta: No aplica</w:t>
      </w:r>
    </w:p>
    <w:p w14:paraId="39900B70" w14:textId="77777777" w:rsidR="007459C5" w:rsidRPr="007459C5" w:rsidRDefault="007459C5" w:rsidP="007459C5">
      <w:pPr>
        <w:jc w:val="both"/>
        <w:rPr>
          <w:rFonts w:asciiTheme="minorHAnsi" w:hAnsiTheme="minorHAnsi" w:cs="Arial"/>
        </w:rPr>
      </w:pPr>
      <w:r w:rsidRPr="007459C5">
        <w:rPr>
          <w:rFonts w:asciiTheme="minorHAnsi" w:hAnsiTheme="minorHAnsi" w:cs="Arial"/>
        </w:rPr>
        <w:t>b) Enlistar los de mayor monto de disponibilidad, relacionando aquéllos que conforman el 80% de las disponibilidades:</w:t>
      </w:r>
    </w:p>
    <w:p w14:paraId="6613901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178AC7DA"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10. Reporte de la Recaudación:</w:t>
      </w:r>
    </w:p>
    <w:p w14:paraId="4221AA58" w14:textId="77777777" w:rsidR="007459C5" w:rsidRPr="007459C5" w:rsidRDefault="007459C5" w:rsidP="007459C5">
      <w:pPr>
        <w:jc w:val="both"/>
        <w:rPr>
          <w:rFonts w:asciiTheme="minorHAnsi" w:hAnsiTheme="minorHAnsi" w:cs="Arial"/>
        </w:rPr>
      </w:pPr>
      <w:r w:rsidRPr="007459C5">
        <w:rPr>
          <w:rFonts w:asciiTheme="minorHAnsi" w:hAnsiTheme="minorHAnsi" w:cs="Arial"/>
        </w:rPr>
        <w:t>a) Análisis del comportamiento de la recaudación correspondiente al ente público o cualquier tipo de ingreso, de forma separada los ingresos locales de los federales:</w:t>
      </w:r>
    </w:p>
    <w:p w14:paraId="2090DBFF" w14:textId="77777777" w:rsidR="007459C5" w:rsidRPr="007459C5" w:rsidRDefault="007459C5" w:rsidP="007459C5">
      <w:pPr>
        <w:jc w:val="both"/>
        <w:rPr>
          <w:rFonts w:asciiTheme="minorHAnsi" w:hAnsiTheme="minorHAnsi" w:cs="Arial"/>
        </w:rPr>
      </w:pPr>
      <w:r w:rsidRPr="007459C5">
        <w:rPr>
          <w:rFonts w:asciiTheme="minorHAnsi" w:hAnsiTheme="minorHAnsi" w:cs="Arial"/>
        </w:rPr>
        <w:t>b) Proyección de la recaudación e ingresos en el mediano plazo:</w:t>
      </w:r>
    </w:p>
    <w:p w14:paraId="705479EF"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11. Información sobre la Deuda y el Reporte Analítico de la Deuda:</w:t>
      </w:r>
    </w:p>
    <w:p w14:paraId="73D6BDC8" w14:textId="77777777" w:rsidR="007459C5" w:rsidRPr="007459C5" w:rsidRDefault="007459C5" w:rsidP="007459C5">
      <w:pPr>
        <w:jc w:val="both"/>
        <w:rPr>
          <w:rFonts w:asciiTheme="minorHAnsi" w:hAnsiTheme="minorHAnsi" w:cs="Arial"/>
        </w:rPr>
      </w:pPr>
      <w:r w:rsidRPr="007459C5">
        <w:rPr>
          <w:rFonts w:asciiTheme="minorHAnsi" w:hAnsiTheme="minorHAnsi" w:cs="Arial"/>
        </w:rPr>
        <w:t>a) Utilizar al menos los siguientes indicadores: deuda respecto al PIB y deuda respecto a la recaudación tomando, como mínimo, un período igual o menor a 5 años.</w:t>
      </w:r>
    </w:p>
    <w:p w14:paraId="103B9A85" w14:textId="77777777" w:rsidR="007459C5" w:rsidRPr="007459C5" w:rsidRDefault="007459C5" w:rsidP="007459C5">
      <w:pPr>
        <w:jc w:val="both"/>
        <w:rPr>
          <w:rFonts w:asciiTheme="minorHAnsi" w:hAnsiTheme="minorHAnsi" w:cs="Arial"/>
        </w:rPr>
      </w:pPr>
      <w:r w:rsidRPr="007459C5">
        <w:rPr>
          <w:rFonts w:asciiTheme="minorHAnsi" w:hAnsiTheme="minorHAnsi" w:cs="Arial"/>
        </w:rPr>
        <w:t>b) Información de manera agrupada por tipo de valor gubernamental o instrumento financiero en la que se considere intereses, comisiones, tasa, perfil de vencimiento y otros gastos de la deuda.</w:t>
      </w:r>
    </w:p>
    <w:p w14:paraId="59A39357" w14:textId="77777777" w:rsidR="007459C5" w:rsidRPr="007459C5" w:rsidRDefault="007459C5" w:rsidP="007459C5">
      <w:pPr>
        <w:jc w:val="both"/>
        <w:rPr>
          <w:rFonts w:asciiTheme="minorHAnsi" w:hAnsiTheme="minorHAnsi" w:cs="Arial"/>
        </w:rPr>
      </w:pPr>
      <w:r w:rsidRPr="007459C5">
        <w:rPr>
          <w:rFonts w:asciiTheme="minorHAnsi" w:hAnsiTheme="minorHAnsi" w:cs="Arial"/>
        </w:rPr>
        <w:t>* Se anexara la información en las notas de desglose.</w:t>
      </w:r>
    </w:p>
    <w:p w14:paraId="73586531"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lastRenderedPageBreak/>
        <w:t>12. Calificaciones otorgadas:</w:t>
      </w:r>
    </w:p>
    <w:p w14:paraId="212EFAEB"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Informar, tanto del ente público como cualquier transacción realizada, que haya sido sujeta a una calificación </w:t>
      </w:r>
      <w:proofErr w:type="spellStart"/>
      <w:r w:rsidRPr="007459C5">
        <w:rPr>
          <w:rFonts w:asciiTheme="minorHAnsi" w:hAnsiTheme="minorHAnsi" w:cs="Arial"/>
        </w:rPr>
        <w:t>crediticia</w:t>
      </w:r>
      <w:proofErr w:type="gramStart"/>
      <w:r w:rsidRPr="007459C5">
        <w:rPr>
          <w:rFonts w:asciiTheme="minorHAnsi" w:hAnsiTheme="minorHAnsi" w:cs="Arial"/>
        </w:rPr>
        <w:t>:No</w:t>
      </w:r>
      <w:proofErr w:type="spellEnd"/>
      <w:proofErr w:type="gramEnd"/>
      <w:r w:rsidRPr="007459C5">
        <w:rPr>
          <w:rFonts w:asciiTheme="minorHAnsi" w:hAnsiTheme="minorHAnsi" w:cs="Arial"/>
        </w:rPr>
        <w:t xml:space="preserve"> aplica</w:t>
      </w:r>
    </w:p>
    <w:p w14:paraId="225CD56D"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13. Proceso de Mejora:</w:t>
      </w:r>
    </w:p>
    <w:p w14:paraId="5E747815" w14:textId="77777777" w:rsidR="007459C5" w:rsidRPr="007459C5" w:rsidRDefault="007459C5" w:rsidP="007459C5">
      <w:pPr>
        <w:jc w:val="both"/>
        <w:rPr>
          <w:rFonts w:asciiTheme="minorHAnsi" w:hAnsiTheme="minorHAnsi" w:cs="Arial"/>
        </w:rPr>
      </w:pPr>
      <w:r w:rsidRPr="007459C5">
        <w:rPr>
          <w:rFonts w:asciiTheme="minorHAnsi" w:hAnsiTheme="minorHAnsi" w:cs="Arial"/>
        </w:rPr>
        <w:t>Se informará de:</w:t>
      </w:r>
    </w:p>
    <w:p w14:paraId="352FB464" w14:textId="77777777" w:rsidR="007459C5" w:rsidRPr="007459C5" w:rsidRDefault="007459C5" w:rsidP="007459C5">
      <w:pPr>
        <w:jc w:val="both"/>
        <w:rPr>
          <w:rFonts w:asciiTheme="minorHAnsi" w:hAnsiTheme="minorHAnsi" w:cs="Arial"/>
        </w:rPr>
      </w:pPr>
      <w:r w:rsidRPr="007459C5">
        <w:rPr>
          <w:rFonts w:asciiTheme="minorHAnsi" w:hAnsiTheme="minorHAnsi" w:cs="Arial"/>
        </w:rPr>
        <w:t>a) Principales Políticas de control interno:</w:t>
      </w:r>
    </w:p>
    <w:p w14:paraId="0228365A" w14:textId="77777777" w:rsidR="007459C5" w:rsidRPr="007459C5" w:rsidRDefault="007459C5" w:rsidP="007459C5">
      <w:pPr>
        <w:jc w:val="both"/>
        <w:rPr>
          <w:rFonts w:asciiTheme="minorHAnsi" w:hAnsiTheme="minorHAnsi" w:cs="Arial"/>
        </w:rPr>
      </w:pPr>
    </w:p>
    <w:p w14:paraId="5BB9BBE3" w14:textId="77777777" w:rsidR="007459C5" w:rsidRPr="007459C5" w:rsidRDefault="007459C5" w:rsidP="007459C5">
      <w:pPr>
        <w:jc w:val="both"/>
        <w:rPr>
          <w:rFonts w:asciiTheme="minorHAnsi" w:hAnsiTheme="minorHAnsi" w:cs="Arial"/>
        </w:rPr>
      </w:pPr>
      <w:r w:rsidRPr="007459C5">
        <w:rPr>
          <w:rFonts w:asciiTheme="minorHAnsi" w:hAnsiTheme="minorHAnsi" w:cs="Arial"/>
        </w:rPr>
        <w:t>b) Medidas de desempeño financiero, metas y alcance:</w:t>
      </w:r>
    </w:p>
    <w:p w14:paraId="7F69DF36"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14. Información por Segmentos:</w:t>
      </w:r>
    </w:p>
    <w:p w14:paraId="1BA5131B" w14:textId="77777777" w:rsidR="007459C5" w:rsidRPr="007459C5" w:rsidRDefault="007459C5" w:rsidP="007459C5">
      <w:pPr>
        <w:jc w:val="both"/>
        <w:rPr>
          <w:rFonts w:asciiTheme="minorHAnsi" w:hAnsiTheme="minorHAnsi" w:cs="Arial"/>
        </w:rPr>
      </w:pPr>
      <w:r w:rsidRPr="007459C5">
        <w:rPr>
          <w:rFonts w:asciiTheme="minorHAnsi" w:hAnsiTheme="minorHAnsi" w:cs="Arial"/>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26DAA949" w14:textId="77777777" w:rsidR="007459C5" w:rsidRPr="007459C5" w:rsidRDefault="007459C5" w:rsidP="007459C5">
      <w:pPr>
        <w:jc w:val="both"/>
        <w:rPr>
          <w:rFonts w:asciiTheme="minorHAnsi" w:hAnsiTheme="minorHAnsi" w:cs="Arial"/>
        </w:rPr>
      </w:pPr>
      <w:r w:rsidRPr="007459C5">
        <w:rPr>
          <w:rFonts w:asciiTheme="minorHAnsi" w:hAnsiTheme="minorHAnsi" w:cs="Arial"/>
        </w:rPr>
        <w:t>Consecuentemente, esta información contribuye al análisis más preciso de la situación financiera, grados y fuentes de riesgo y crecimiento potencial de negocio.</w:t>
      </w:r>
    </w:p>
    <w:p w14:paraId="2D9D0B05"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15. Eventos Posteriores al Cierre:</w:t>
      </w:r>
    </w:p>
    <w:p w14:paraId="7CBC8CD0" w14:textId="77777777" w:rsidR="007459C5" w:rsidRPr="007459C5" w:rsidRDefault="007459C5" w:rsidP="007459C5">
      <w:pPr>
        <w:jc w:val="both"/>
        <w:rPr>
          <w:rFonts w:asciiTheme="minorHAnsi" w:hAnsiTheme="minorHAnsi" w:cs="Arial"/>
        </w:rPr>
      </w:pPr>
      <w:r w:rsidRPr="007459C5">
        <w:rPr>
          <w:rFonts w:asciiTheme="minorHAnsi" w:hAnsiTheme="minorHAnsi" w:cs="Arial"/>
        </w:rPr>
        <w:t>El ente público informará el efecto en sus estados financieros de aquellos hechos ocurridos en el período posterior al que informa, que proporcionan mayor evidencia sobre eventos que le afectan  económicamente y que no se conocían a la fecha de cierre.</w:t>
      </w:r>
    </w:p>
    <w:p w14:paraId="68730B22"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16. Partes Relacionadas:</w:t>
      </w:r>
    </w:p>
    <w:p w14:paraId="207F160F" w14:textId="77777777" w:rsidR="007459C5" w:rsidRPr="007459C5" w:rsidRDefault="007459C5" w:rsidP="007459C5">
      <w:pPr>
        <w:jc w:val="both"/>
        <w:rPr>
          <w:rFonts w:asciiTheme="minorHAnsi" w:hAnsiTheme="minorHAnsi" w:cs="Arial"/>
        </w:rPr>
      </w:pPr>
      <w:r w:rsidRPr="007459C5">
        <w:rPr>
          <w:rFonts w:asciiTheme="minorHAnsi" w:hAnsiTheme="minorHAnsi" w:cs="Arial"/>
        </w:rPr>
        <w:t>Se debe establecer por escrito que no existen partes relacionadas que pudieran ejercer influencia significativa sobre la toma de decisiones financieras y operativas:</w:t>
      </w:r>
    </w:p>
    <w:p w14:paraId="467DF6D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17. Responsabilidad sobre la presentación razonable de los Estados Financieros:</w:t>
      </w:r>
    </w:p>
    <w:p w14:paraId="69739B8D" w14:textId="77777777" w:rsidR="007459C5" w:rsidRPr="007459C5" w:rsidRDefault="007459C5" w:rsidP="007459C5">
      <w:pPr>
        <w:jc w:val="both"/>
        <w:rPr>
          <w:rFonts w:asciiTheme="minorHAnsi" w:hAnsiTheme="minorHAnsi" w:cs="Arial"/>
        </w:rPr>
      </w:pPr>
      <w:r w:rsidRPr="007459C5">
        <w:rPr>
          <w:rFonts w:asciiTheme="minorHAnsi" w:hAnsiTheme="minorHAnsi" w:cs="Arial"/>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13235D52" w14:textId="77777777" w:rsidR="007459C5" w:rsidRPr="007459C5" w:rsidRDefault="007459C5" w:rsidP="007459C5">
      <w:pPr>
        <w:pBdr>
          <w:bottom w:val="single" w:sz="12" w:space="1" w:color="auto"/>
        </w:pBdr>
        <w:spacing w:after="0" w:line="240" w:lineRule="auto"/>
        <w:jc w:val="both"/>
        <w:rPr>
          <w:rFonts w:asciiTheme="minorHAnsi" w:hAnsiTheme="minorHAnsi" w:cs="Calibri"/>
        </w:rPr>
      </w:pPr>
    </w:p>
    <w:p w14:paraId="4EBFD83F" w14:textId="77777777" w:rsidR="007459C5" w:rsidRPr="007459C5" w:rsidRDefault="007459C5" w:rsidP="007459C5">
      <w:pPr>
        <w:spacing w:after="0" w:line="240" w:lineRule="auto"/>
        <w:jc w:val="both"/>
        <w:rPr>
          <w:rFonts w:asciiTheme="minorHAnsi" w:hAnsiTheme="minorHAnsi" w:cs="Calibri"/>
        </w:rPr>
      </w:pPr>
    </w:p>
    <w:p w14:paraId="30D7D157" w14:textId="77777777" w:rsidR="007459C5" w:rsidRPr="007459C5" w:rsidRDefault="007459C5" w:rsidP="007459C5">
      <w:pPr>
        <w:jc w:val="both"/>
        <w:rPr>
          <w:rFonts w:asciiTheme="minorHAnsi" w:hAnsiTheme="minorHAnsi" w:cs="Calibri"/>
          <w:b/>
        </w:rPr>
      </w:pPr>
      <w:r w:rsidRPr="007459C5">
        <w:rPr>
          <w:rFonts w:asciiTheme="minorHAnsi" w:hAnsiTheme="minorHAnsi" w:cs="Calibri"/>
          <w:b/>
        </w:rPr>
        <w:t>Recomendaciones</w:t>
      </w:r>
    </w:p>
    <w:p w14:paraId="6286B206" w14:textId="77777777" w:rsidR="007459C5" w:rsidRPr="007459C5" w:rsidRDefault="007459C5" w:rsidP="007459C5">
      <w:pPr>
        <w:jc w:val="both"/>
        <w:rPr>
          <w:rFonts w:asciiTheme="minorHAnsi" w:hAnsiTheme="minorHAnsi" w:cs="Calibri"/>
        </w:rPr>
      </w:pPr>
      <w:r w:rsidRPr="007459C5">
        <w:rPr>
          <w:rFonts w:asciiTheme="minorHAnsi" w:hAnsiTheme="minorHAnsi" w:cs="Calibri"/>
          <w:b/>
        </w:rPr>
        <w:lastRenderedPageBreak/>
        <w:t>Nota 1: Las notas de Gestión Administrativa sólo se presentarán en medio digital, las notas que no estén contempladas en el formato se agregarán libremente al mismo.</w:t>
      </w:r>
    </w:p>
    <w:p w14:paraId="32094948" w14:textId="77777777" w:rsidR="000B7810" w:rsidRPr="00657009" w:rsidRDefault="000B7810" w:rsidP="00657009">
      <w:pPr>
        <w:spacing w:after="0" w:line="240" w:lineRule="auto"/>
        <w:jc w:val="center"/>
        <w:rPr>
          <w:rFonts w:ascii="Times New Roman" w:hAnsi="Times New Roman"/>
          <w:sz w:val="24"/>
          <w:szCs w:val="24"/>
        </w:rPr>
      </w:pPr>
    </w:p>
    <w:p w14:paraId="294D112B" w14:textId="77777777" w:rsidR="000B7810" w:rsidRPr="00657009" w:rsidRDefault="000B7810" w:rsidP="00657009">
      <w:pPr>
        <w:spacing w:after="0" w:line="240" w:lineRule="auto"/>
        <w:jc w:val="center"/>
        <w:rPr>
          <w:rFonts w:ascii="Times New Roman" w:hAnsi="Times New Roman"/>
          <w:sz w:val="24"/>
          <w:szCs w:val="24"/>
        </w:rPr>
      </w:pPr>
    </w:p>
    <w:p w14:paraId="0C987970" w14:textId="77777777" w:rsidR="008E076C" w:rsidRPr="00657009" w:rsidRDefault="008E076C" w:rsidP="00657009">
      <w:pPr>
        <w:spacing w:after="0" w:line="240" w:lineRule="auto"/>
        <w:jc w:val="center"/>
        <w:rPr>
          <w:rFonts w:ascii="Times New Roman" w:hAnsi="Times New Roman"/>
          <w:sz w:val="24"/>
          <w:szCs w:val="24"/>
        </w:rPr>
      </w:pPr>
    </w:p>
    <w:p w14:paraId="50903296" w14:textId="5171F5DE" w:rsidR="007D1E76" w:rsidRPr="00E74967" w:rsidRDefault="001973A2" w:rsidP="007D1E76">
      <w:pPr>
        <w:spacing w:after="0" w:line="240" w:lineRule="auto"/>
        <w:jc w:val="both"/>
        <w:rPr>
          <w:rFonts w:cs="Calibri"/>
        </w:rPr>
      </w:pPr>
      <w:r w:rsidRPr="001973A2">
        <w:rPr>
          <w:rFonts w:cs="Calibri"/>
        </w:rPr>
        <w:t>.</w:t>
      </w:r>
    </w:p>
    <w:p w14:paraId="46F1823A" w14:textId="77777777" w:rsidR="007D1E76" w:rsidRDefault="007D1E76" w:rsidP="007D1E76">
      <w:pPr>
        <w:pBdr>
          <w:bottom w:val="single" w:sz="12" w:space="1" w:color="auto"/>
        </w:pBdr>
        <w:spacing w:after="0" w:line="240" w:lineRule="auto"/>
        <w:jc w:val="both"/>
        <w:rPr>
          <w:rFonts w:cs="Calibri"/>
        </w:rPr>
      </w:pPr>
    </w:p>
    <w:p w14:paraId="3A1DCDD4" w14:textId="77777777" w:rsidR="00AE1F6A" w:rsidRPr="00E74967" w:rsidRDefault="00AE1F6A" w:rsidP="007D1E76">
      <w:pPr>
        <w:pBdr>
          <w:bottom w:val="single" w:sz="12" w:space="1" w:color="auto"/>
        </w:pBdr>
        <w:spacing w:after="0" w:line="240" w:lineRule="auto"/>
        <w:jc w:val="both"/>
        <w:rPr>
          <w:rFonts w:cs="Calibri"/>
        </w:rPr>
      </w:pPr>
    </w:p>
    <w:p w14:paraId="246E00EE" w14:textId="77777777" w:rsidR="001C75F2" w:rsidRPr="00E74967" w:rsidRDefault="001C75F2" w:rsidP="007D1E76">
      <w:pPr>
        <w:spacing w:after="0" w:line="240" w:lineRule="auto"/>
        <w:jc w:val="both"/>
        <w:rPr>
          <w:rFonts w:cs="Calibri"/>
        </w:rPr>
      </w:pPr>
    </w:p>
    <w:p w14:paraId="2B2665CE" w14:textId="211B1582" w:rsidR="007D1E76" w:rsidRDefault="00091CE6" w:rsidP="00AA41E5">
      <w:pPr>
        <w:pStyle w:val="Puesto"/>
      </w:pPr>
      <w:r w:rsidRPr="00E74967">
        <w:t xml:space="preserve">Nota 1: Las notas de Gestión Administrativa sólo se presentarán en medio digital, </w:t>
      </w:r>
      <w:r>
        <w:t>en impreso son opcional (de acu</w:t>
      </w:r>
      <w:r w:rsidR="00AA41E5">
        <w:t>e</w:t>
      </w:r>
      <w:r>
        <w:t xml:space="preserve">rdo, ver </w:t>
      </w:r>
      <w:r w:rsidR="00AA41E5">
        <w:rPr>
          <w:color w:val="1F4E79" w:themeColor="accent1" w:themeShade="80"/>
        </w:rPr>
        <w:t>Guía</w:t>
      </w:r>
      <w:r w:rsidRPr="00645DBD">
        <w:rPr>
          <w:color w:val="1F4E79" w:themeColor="accent1" w:themeShade="80"/>
        </w:rPr>
        <w:t xml:space="preserve"> para la entrega de la Cuenta Pública e Información Financiera Trimestral</w:t>
      </w:r>
      <w:r>
        <w:t xml:space="preserve">), </w:t>
      </w:r>
      <w:r w:rsidRPr="00E74967">
        <w:t>las notas que no estén contempladas en el formato se agregarán libremente al mismo.</w:t>
      </w:r>
    </w:p>
    <w:p w14:paraId="7B1C6447" w14:textId="77777777" w:rsidR="00AE1F6A" w:rsidRDefault="00AE1F6A" w:rsidP="007D1E76">
      <w:pPr>
        <w:jc w:val="both"/>
        <w:rPr>
          <w:rFonts w:cs="Calibri"/>
          <w:b/>
        </w:rPr>
      </w:pPr>
      <w:r>
        <w:rPr>
          <w:rFonts w:cs="Calibri"/>
          <w:b/>
        </w:rPr>
        <w:t xml:space="preserve">Nota 2: </w:t>
      </w:r>
      <w:r w:rsidRPr="00AE1F6A">
        <w:rPr>
          <w:rFonts w:cs="Calibri"/>
          <w:b/>
        </w:rPr>
        <w:t xml:space="preserve">En cada una de las </w:t>
      </w:r>
      <w:r>
        <w:rPr>
          <w:rFonts w:cs="Calibri"/>
          <w:b/>
        </w:rPr>
        <w:t>16</w:t>
      </w:r>
      <w:r w:rsidRPr="00AE1F6A">
        <w:rPr>
          <w:rFonts w:cs="Calibri"/>
          <w:b/>
        </w:rPr>
        <w:t xml:space="preserve"> notas de gestión administrativa el ente público deberá poner la nota correspondiente o en su caso la leyenda “Esta nota no le aplica al ente público” y una breve explicación del motivo por el cual no le es aplicable.</w:t>
      </w:r>
    </w:p>
    <w:p w14:paraId="0B3FECD6" w14:textId="77777777" w:rsidR="007610BC" w:rsidRDefault="007610BC" w:rsidP="007D1E76">
      <w:pPr>
        <w:jc w:val="both"/>
        <w:rPr>
          <w:rFonts w:cs="Calibri"/>
          <w:b/>
        </w:rPr>
      </w:pPr>
    </w:p>
    <w:p w14:paraId="2E6D76BB" w14:textId="77777777" w:rsidR="007610BC" w:rsidRDefault="007610BC" w:rsidP="007D1E76">
      <w:pPr>
        <w:jc w:val="both"/>
        <w:rPr>
          <w:rFonts w:cs="Calibri"/>
          <w:b/>
        </w:rPr>
      </w:pPr>
    </w:p>
    <w:p w14:paraId="3870A51F" w14:textId="77777777" w:rsidR="007610BC" w:rsidRDefault="007610BC" w:rsidP="007D1E76">
      <w:pPr>
        <w:pBdr>
          <w:bottom w:val="single" w:sz="12" w:space="1" w:color="auto"/>
        </w:pBdr>
        <w:jc w:val="both"/>
        <w:rPr>
          <w:rFonts w:cs="Calibri"/>
          <w:b/>
        </w:rPr>
      </w:pPr>
    </w:p>
    <w:p w14:paraId="547B7126" w14:textId="77777777" w:rsidR="007610BC" w:rsidRPr="007306C6" w:rsidRDefault="007610BC" w:rsidP="007610BC">
      <w:pPr>
        <w:spacing w:after="0" w:line="240" w:lineRule="auto"/>
        <w:jc w:val="both"/>
        <w:rPr>
          <w:rFonts w:cs="Calibri"/>
        </w:rPr>
      </w:pPr>
      <w:r w:rsidRPr="007306C6">
        <w:rPr>
          <w:rFonts w:cs="Calibri"/>
        </w:rPr>
        <w:t xml:space="preserve">De acuerdo al </w:t>
      </w:r>
      <w:r w:rsidRPr="007306C6">
        <w:rPr>
          <w:rFonts w:cs="Calibri"/>
          <w:b/>
        </w:rPr>
        <w:t>artículo 13 fracción VIII</w:t>
      </w:r>
      <w:r w:rsidRPr="007306C6">
        <w:rPr>
          <w:rFonts w:cs="Calibri"/>
        </w:rPr>
        <w:t xml:space="preserve">, de la Ley de Disciplina Financiera de las Entidades Federativas y los Municipios </w:t>
      </w:r>
      <w:r>
        <w:rPr>
          <w:rFonts w:cs="Calibri"/>
          <w:b/>
        </w:rPr>
        <w:t>(LDF), «</w:t>
      </w:r>
      <w:r w:rsidRPr="007306C6">
        <w:rPr>
          <w:rFonts w:cs="Calibri"/>
        </w:rPr>
        <w:t>Una vez concluida la vigencia del Presupuesto de Egresos, sólo procederá realizar pagos con</w:t>
      </w:r>
      <w:r>
        <w:rPr>
          <w:rFonts w:cs="Calibri"/>
        </w:rPr>
        <w:t xml:space="preserve"> </w:t>
      </w:r>
      <w:r w:rsidRPr="007306C6">
        <w:rPr>
          <w:rFonts w:cs="Calibri"/>
        </w:rPr>
        <w:t>base en dicho presupuesto, por los conceptos efectivamente devengados en el año que corresponda y</w:t>
      </w:r>
    </w:p>
    <w:p w14:paraId="1EB0A54F" w14:textId="77777777" w:rsidR="007610BC" w:rsidRPr="007306C6" w:rsidRDefault="007610BC" w:rsidP="007610BC">
      <w:pPr>
        <w:spacing w:after="0" w:line="240" w:lineRule="auto"/>
        <w:jc w:val="both"/>
        <w:rPr>
          <w:rFonts w:cs="Calibri"/>
          <w:b/>
        </w:rPr>
      </w:pPr>
      <w:proofErr w:type="gramStart"/>
      <w:r w:rsidRPr="007306C6">
        <w:rPr>
          <w:rFonts w:cs="Calibri"/>
        </w:rPr>
        <w:t>que</w:t>
      </w:r>
      <w:proofErr w:type="gramEnd"/>
      <w:r w:rsidRPr="007306C6">
        <w:rPr>
          <w:rFonts w:cs="Calibri"/>
        </w:rPr>
        <w:t xml:space="preserve"> se hubieren registrado en el informe de cuentas por pagar y que integran el pasivo circulante al </w:t>
      </w:r>
      <w:r w:rsidRPr="007306C6">
        <w:rPr>
          <w:rFonts w:cs="Calibri"/>
          <w:b/>
        </w:rPr>
        <w:t>cierre</w:t>
      </w:r>
    </w:p>
    <w:p w14:paraId="79C28DC1" w14:textId="77777777" w:rsidR="007610BC" w:rsidRDefault="007610BC" w:rsidP="007610BC">
      <w:pPr>
        <w:spacing w:after="0" w:line="240" w:lineRule="auto"/>
        <w:jc w:val="both"/>
        <w:rPr>
          <w:rFonts w:cs="Calibri"/>
          <w:b/>
        </w:rPr>
      </w:pPr>
      <w:proofErr w:type="gramStart"/>
      <w:r w:rsidRPr="007306C6">
        <w:rPr>
          <w:rFonts w:cs="Calibri"/>
          <w:b/>
        </w:rPr>
        <w:t>del</w:t>
      </w:r>
      <w:proofErr w:type="gramEnd"/>
      <w:r w:rsidRPr="007306C6">
        <w:rPr>
          <w:rFonts w:cs="Calibri"/>
          <w:b/>
        </w:rPr>
        <w:t xml:space="preserve"> ejercicio</w:t>
      </w:r>
      <w:r w:rsidRPr="007306C6">
        <w:rPr>
          <w:rFonts w:cs="Calibri"/>
        </w:rPr>
        <w:t>.</w:t>
      </w:r>
      <w:r>
        <w:rPr>
          <w:rFonts w:cs="Calibri"/>
          <w:b/>
        </w:rPr>
        <w:t>»</w:t>
      </w:r>
    </w:p>
    <w:p w14:paraId="37C51EF3" w14:textId="77777777" w:rsidR="007610BC" w:rsidRDefault="007610BC" w:rsidP="007610BC">
      <w:pPr>
        <w:spacing w:after="0" w:line="240" w:lineRule="auto"/>
        <w:jc w:val="both"/>
        <w:rPr>
          <w:rFonts w:cs="Calibri"/>
        </w:rPr>
      </w:pPr>
    </w:p>
    <w:p w14:paraId="2041113E" w14:textId="77777777" w:rsidR="007610BC" w:rsidRDefault="007610BC" w:rsidP="007610BC">
      <w:pPr>
        <w:spacing w:after="0" w:line="240" w:lineRule="auto"/>
        <w:jc w:val="both"/>
        <w:rPr>
          <w:rFonts w:cs="Calibri"/>
        </w:rPr>
      </w:pPr>
      <w:r>
        <w:rPr>
          <w:rFonts w:cs="Calibri"/>
        </w:rPr>
        <w:t>Propuesta de cedula:</w:t>
      </w:r>
    </w:p>
    <w:p w14:paraId="7B3F3D81" w14:textId="77777777" w:rsidR="007610BC" w:rsidRDefault="007610BC" w:rsidP="007610BC">
      <w:pPr>
        <w:spacing w:after="0" w:line="240" w:lineRule="auto"/>
        <w:jc w:val="both"/>
        <w:rPr>
          <w:rFonts w:cs="Calibri"/>
          <w:b/>
        </w:rPr>
      </w:pPr>
      <w:r w:rsidRPr="007306C6">
        <w:rPr>
          <w:rFonts w:cs="Calibri"/>
          <w:b/>
        </w:rPr>
        <w:t>Devengado que integra el Pasivo circulante al cierre del ejercicio</w:t>
      </w:r>
    </w:p>
    <w:tbl>
      <w:tblPr>
        <w:tblW w:w="9126" w:type="dxa"/>
        <w:tblCellMar>
          <w:left w:w="70" w:type="dxa"/>
          <w:right w:w="70" w:type="dxa"/>
        </w:tblCellMar>
        <w:tblLook w:val="04A0" w:firstRow="1" w:lastRow="0" w:firstColumn="1" w:lastColumn="0" w:noHBand="0" w:noVBand="1"/>
      </w:tblPr>
      <w:tblGrid>
        <w:gridCol w:w="704"/>
        <w:gridCol w:w="4111"/>
        <w:gridCol w:w="709"/>
        <w:gridCol w:w="1134"/>
        <w:gridCol w:w="1275"/>
        <w:gridCol w:w="1193"/>
      </w:tblGrid>
      <w:tr w:rsidR="007610BC" w:rsidRPr="00C36B44" w14:paraId="28E9CF65" w14:textId="77777777" w:rsidTr="00D513DE">
        <w:trPr>
          <w:trHeight w:val="300"/>
        </w:trPr>
        <w:tc>
          <w:tcPr>
            <w:tcW w:w="70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442770BA"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CUENTA</w:t>
            </w:r>
          </w:p>
        </w:tc>
        <w:tc>
          <w:tcPr>
            <w:tcW w:w="4111" w:type="dxa"/>
            <w:tcBorders>
              <w:top w:val="single" w:sz="4" w:space="0" w:color="auto"/>
              <w:left w:val="nil"/>
              <w:bottom w:val="single" w:sz="4" w:space="0" w:color="auto"/>
              <w:right w:val="single" w:sz="4" w:space="0" w:color="auto"/>
            </w:tcBorders>
            <w:shd w:val="clear" w:color="000000" w:fill="92D050"/>
            <w:noWrap/>
            <w:vAlign w:val="center"/>
            <w:hideMark/>
          </w:tcPr>
          <w:p w14:paraId="381C7AF2" w14:textId="77777777" w:rsidR="007610BC" w:rsidRPr="00C36B44" w:rsidRDefault="007610BC" w:rsidP="00D513DE">
            <w:pPr>
              <w:spacing w:after="0" w:line="240" w:lineRule="auto"/>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NOMBRE DE LA CUENTA</w:t>
            </w:r>
          </w:p>
        </w:tc>
        <w:tc>
          <w:tcPr>
            <w:tcW w:w="709" w:type="dxa"/>
            <w:tcBorders>
              <w:top w:val="single" w:sz="4" w:space="0" w:color="auto"/>
              <w:left w:val="nil"/>
              <w:bottom w:val="single" w:sz="4" w:space="0" w:color="auto"/>
              <w:right w:val="single" w:sz="4" w:space="0" w:color="auto"/>
            </w:tcBorders>
            <w:shd w:val="clear" w:color="000000" w:fill="92D050"/>
            <w:noWrap/>
            <w:vAlign w:val="center"/>
            <w:hideMark/>
          </w:tcPr>
          <w:p w14:paraId="37A5548E" w14:textId="77777777" w:rsidR="007610BC" w:rsidRPr="00C36B44" w:rsidRDefault="007610BC" w:rsidP="00D513DE">
            <w:pPr>
              <w:spacing w:after="0" w:line="240" w:lineRule="auto"/>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Capítulo</w:t>
            </w:r>
          </w:p>
        </w:tc>
        <w:tc>
          <w:tcPr>
            <w:tcW w:w="1134" w:type="dxa"/>
            <w:tcBorders>
              <w:top w:val="single" w:sz="4" w:space="0" w:color="auto"/>
              <w:left w:val="nil"/>
              <w:bottom w:val="single" w:sz="4" w:space="0" w:color="auto"/>
              <w:right w:val="single" w:sz="4" w:space="0" w:color="auto"/>
            </w:tcBorders>
            <w:shd w:val="clear" w:color="000000" w:fill="92D050"/>
            <w:noWrap/>
            <w:vAlign w:val="center"/>
            <w:hideMark/>
          </w:tcPr>
          <w:p w14:paraId="5CA99FBB"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Importe</w:t>
            </w:r>
          </w:p>
        </w:tc>
        <w:tc>
          <w:tcPr>
            <w:tcW w:w="1275" w:type="dxa"/>
            <w:tcBorders>
              <w:top w:val="single" w:sz="4" w:space="0" w:color="auto"/>
              <w:left w:val="nil"/>
              <w:bottom w:val="single" w:sz="4" w:space="0" w:color="auto"/>
              <w:right w:val="single" w:sz="4" w:space="0" w:color="auto"/>
            </w:tcBorders>
            <w:shd w:val="clear" w:color="000000" w:fill="92D050"/>
            <w:noWrap/>
            <w:vAlign w:val="center"/>
            <w:hideMark/>
          </w:tcPr>
          <w:p w14:paraId="7261A218"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No Etiquetado</w:t>
            </w:r>
          </w:p>
        </w:tc>
        <w:tc>
          <w:tcPr>
            <w:tcW w:w="1193" w:type="dxa"/>
            <w:tcBorders>
              <w:top w:val="single" w:sz="4" w:space="0" w:color="auto"/>
              <w:left w:val="nil"/>
              <w:bottom w:val="single" w:sz="4" w:space="0" w:color="auto"/>
              <w:right w:val="single" w:sz="4" w:space="0" w:color="auto"/>
            </w:tcBorders>
            <w:shd w:val="clear" w:color="000000" w:fill="92D050"/>
            <w:noWrap/>
            <w:vAlign w:val="center"/>
            <w:hideMark/>
          </w:tcPr>
          <w:p w14:paraId="269478C4"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Etiquetado</w:t>
            </w:r>
          </w:p>
        </w:tc>
      </w:tr>
      <w:tr w:rsidR="007610BC" w:rsidRPr="00C36B44" w14:paraId="31C7DC00"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2CC62784"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p>
        </w:tc>
        <w:tc>
          <w:tcPr>
            <w:tcW w:w="4111" w:type="dxa"/>
            <w:tcBorders>
              <w:top w:val="nil"/>
              <w:left w:val="nil"/>
              <w:bottom w:val="single" w:sz="4" w:space="0" w:color="auto"/>
              <w:right w:val="single" w:sz="4" w:space="0" w:color="auto"/>
            </w:tcBorders>
            <w:shd w:val="clear" w:color="auto" w:fill="auto"/>
            <w:noWrap/>
            <w:hideMark/>
          </w:tcPr>
          <w:p w14:paraId="48E6B3EA"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Cuentas por pagar a corto plazo</w:t>
            </w:r>
          </w:p>
        </w:tc>
        <w:tc>
          <w:tcPr>
            <w:tcW w:w="709" w:type="dxa"/>
            <w:tcBorders>
              <w:top w:val="nil"/>
              <w:left w:val="nil"/>
              <w:bottom w:val="single" w:sz="4" w:space="0" w:color="auto"/>
              <w:right w:val="single" w:sz="4" w:space="0" w:color="auto"/>
            </w:tcBorders>
            <w:shd w:val="clear" w:color="auto" w:fill="auto"/>
            <w:noWrap/>
            <w:hideMark/>
          </w:tcPr>
          <w:p w14:paraId="5591045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34" w:type="dxa"/>
            <w:tcBorders>
              <w:top w:val="nil"/>
              <w:left w:val="nil"/>
              <w:bottom w:val="single" w:sz="4" w:space="0" w:color="auto"/>
              <w:right w:val="single" w:sz="4" w:space="0" w:color="auto"/>
            </w:tcBorders>
            <w:shd w:val="clear" w:color="auto" w:fill="auto"/>
            <w:noWrap/>
            <w:hideMark/>
          </w:tcPr>
          <w:p w14:paraId="3760E39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B06D04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6F6FDEEB"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F18E842"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5B4FC4F0"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2111</w:t>
            </w:r>
          </w:p>
        </w:tc>
        <w:tc>
          <w:tcPr>
            <w:tcW w:w="4111" w:type="dxa"/>
            <w:tcBorders>
              <w:top w:val="nil"/>
              <w:left w:val="nil"/>
              <w:bottom w:val="single" w:sz="4" w:space="0" w:color="auto"/>
              <w:right w:val="single" w:sz="4" w:space="0" w:color="auto"/>
            </w:tcBorders>
            <w:shd w:val="clear" w:color="auto" w:fill="auto"/>
            <w:noWrap/>
            <w:hideMark/>
          </w:tcPr>
          <w:p w14:paraId="1E431C55"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Servicios personales por pagar a corto plazo</w:t>
            </w:r>
          </w:p>
        </w:tc>
        <w:tc>
          <w:tcPr>
            <w:tcW w:w="709" w:type="dxa"/>
            <w:tcBorders>
              <w:top w:val="nil"/>
              <w:left w:val="nil"/>
              <w:bottom w:val="single" w:sz="4" w:space="0" w:color="auto"/>
              <w:right w:val="single" w:sz="4" w:space="0" w:color="auto"/>
            </w:tcBorders>
            <w:shd w:val="clear" w:color="auto" w:fill="auto"/>
            <w:noWrap/>
            <w:hideMark/>
          </w:tcPr>
          <w:p w14:paraId="0FA2A6F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1000</w:t>
            </w:r>
          </w:p>
        </w:tc>
        <w:tc>
          <w:tcPr>
            <w:tcW w:w="1134" w:type="dxa"/>
            <w:tcBorders>
              <w:top w:val="nil"/>
              <w:left w:val="nil"/>
              <w:bottom w:val="single" w:sz="4" w:space="0" w:color="auto"/>
              <w:right w:val="single" w:sz="4" w:space="0" w:color="auto"/>
            </w:tcBorders>
            <w:shd w:val="clear" w:color="auto" w:fill="auto"/>
            <w:noWrap/>
            <w:hideMark/>
          </w:tcPr>
          <w:p w14:paraId="6DED4E5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43E43BCC"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25D6DE3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E59FE5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39930FDB"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59D42344"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3A59D85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2000</w:t>
            </w:r>
          </w:p>
        </w:tc>
        <w:tc>
          <w:tcPr>
            <w:tcW w:w="1134" w:type="dxa"/>
            <w:tcBorders>
              <w:top w:val="nil"/>
              <w:left w:val="nil"/>
              <w:bottom w:val="single" w:sz="4" w:space="0" w:color="auto"/>
              <w:right w:val="single" w:sz="4" w:space="0" w:color="auto"/>
            </w:tcBorders>
            <w:shd w:val="clear" w:color="auto" w:fill="auto"/>
            <w:noWrap/>
            <w:hideMark/>
          </w:tcPr>
          <w:p w14:paraId="23CC9BDB"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B83E0C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D52D8F6"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932CA41"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1D7FAA40"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45B30DC6"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01244B7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3000</w:t>
            </w:r>
          </w:p>
        </w:tc>
        <w:tc>
          <w:tcPr>
            <w:tcW w:w="1134" w:type="dxa"/>
            <w:tcBorders>
              <w:top w:val="nil"/>
              <w:left w:val="nil"/>
              <w:bottom w:val="single" w:sz="4" w:space="0" w:color="auto"/>
              <w:right w:val="single" w:sz="4" w:space="0" w:color="auto"/>
            </w:tcBorders>
            <w:shd w:val="clear" w:color="auto" w:fill="auto"/>
            <w:noWrap/>
            <w:hideMark/>
          </w:tcPr>
          <w:p w14:paraId="686EA761"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8182E1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52AC5B2E"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3F8ABB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6C85F195"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6991D664"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1ADA9E83"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5000</w:t>
            </w:r>
          </w:p>
        </w:tc>
        <w:tc>
          <w:tcPr>
            <w:tcW w:w="1134" w:type="dxa"/>
            <w:tcBorders>
              <w:top w:val="nil"/>
              <w:left w:val="nil"/>
              <w:bottom w:val="single" w:sz="4" w:space="0" w:color="auto"/>
              <w:right w:val="single" w:sz="4" w:space="0" w:color="auto"/>
            </w:tcBorders>
            <w:shd w:val="clear" w:color="auto" w:fill="auto"/>
            <w:noWrap/>
            <w:hideMark/>
          </w:tcPr>
          <w:p w14:paraId="4FFFB57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FE0B68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AC7F46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1D041ECC"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65E0C5E6"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2113</w:t>
            </w:r>
          </w:p>
        </w:tc>
        <w:tc>
          <w:tcPr>
            <w:tcW w:w="4111" w:type="dxa"/>
            <w:tcBorders>
              <w:top w:val="nil"/>
              <w:left w:val="nil"/>
              <w:bottom w:val="single" w:sz="4" w:space="0" w:color="auto"/>
              <w:right w:val="single" w:sz="4" w:space="0" w:color="auto"/>
            </w:tcBorders>
            <w:shd w:val="clear" w:color="auto" w:fill="auto"/>
            <w:noWrap/>
            <w:hideMark/>
          </w:tcPr>
          <w:p w14:paraId="7B1505C2"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Contratistas por obras públicas por pagar a corto plazo</w:t>
            </w:r>
          </w:p>
        </w:tc>
        <w:tc>
          <w:tcPr>
            <w:tcW w:w="709" w:type="dxa"/>
            <w:tcBorders>
              <w:top w:val="nil"/>
              <w:left w:val="nil"/>
              <w:bottom w:val="single" w:sz="4" w:space="0" w:color="auto"/>
              <w:right w:val="single" w:sz="4" w:space="0" w:color="auto"/>
            </w:tcBorders>
            <w:shd w:val="clear" w:color="auto" w:fill="auto"/>
            <w:noWrap/>
            <w:hideMark/>
          </w:tcPr>
          <w:p w14:paraId="708AD15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6000</w:t>
            </w:r>
          </w:p>
        </w:tc>
        <w:tc>
          <w:tcPr>
            <w:tcW w:w="1134" w:type="dxa"/>
            <w:tcBorders>
              <w:top w:val="nil"/>
              <w:left w:val="nil"/>
              <w:bottom w:val="single" w:sz="4" w:space="0" w:color="auto"/>
              <w:right w:val="single" w:sz="4" w:space="0" w:color="auto"/>
            </w:tcBorders>
            <w:shd w:val="clear" w:color="auto" w:fill="auto"/>
            <w:noWrap/>
            <w:hideMark/>
          </w:tcPr>
          <w:p w14:paraId="188D1BB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86D2F17"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FB48FF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2F904AD8"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21E3BB2"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2114</w:t>
            </w:r>
          </w:p>
        </w:tc>
        <w:tc>
          <w:tcPr>
            <w:tcW w:w="4111" w:type="dxa"/>
            <w:tcBorders>
              <w:top w:val="nil"/>
              <w:left w:val="nil"/>
              <w:bottom w:val="single" w:sz="4" w:space="0" w:color="auto"/>
              <w:right w:val="single" w:sz="4" w:space="0" w:color="auto"/>
            </w:tcBorders>
            <w:shd w:val="clear" w:color="auto" w:fill="auto"/>
            <w:noWrap/>
            <w:hideMark/>
          </w:tcPr>
          <w:p w14:paraId="1CE4EF5D"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Participaciones y aportaciones por pagar a corto plazo</w:t>
            </w:r>
          </w:p>
        </w:tc>
        <w:tc>
          <w:tcPr>
            <w:tcW w:w="709" w:type="dxa"/>
            <w:tcBorders>
              <w:top w:val="nil"/>
              <w:left w:val="nil"/>
              <w:bottom w:val="single" w:sz="4" w:space="0" w:color="auto"/>
              <w:right w:val="single" w:sz="4" w:space="0" w:color="auto"/>
            </w:tcBorders>
            <w:shd w:val="clear" w:color="auto" w:fill="auto"/>
            <w:noWrap/>
            <w:hideMark/>
          </w:tcPr>
          <w:p w14:paraId="15BF722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8000</w:t>
            </w:r>
          </w:p>
        </w:tc>
        <w:tc>
          <w:tcPr>
            <w:tcW w:w="1134" w:type="dxa"/>
            <w:tcBorders>
              <w:top w:val="nil"/>
              <w:left w:val="nil"/>
              <w:bottom w:val="single" w:sz="4" w:space="0" w:color="auto"/>
              <w:right w:val="single" w:sz="4" w:space="0" w:color="auto"/>
            </w:tcBorders>
            <w:shd w:val="clear" w:color="auto" w:fill="auto"/>
            <w:noWrap/>
            <w:hideMark/>
          </w:tcPr>
          <w:p w14:paraId="6C8AA11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D541E7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3F22A7E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0DF71379"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D9418F5"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2115</w:t>
            </w:r>
          </w:p>
        </w:tc>
        <w:tc>
          <w:tcPr>
            <w:tcW w:w="4111" w:type="dxa"/>
            <w:tcBorders>
              <w:top w:val="nil"/>
              <w:left w:val="nil"/>
              <w:bottom w:val="single" w:sz="4" w:space="0" w:color="auto"/>
              <w:right w:val="single" w:sz="4" w:space="0" w:color="auto"/>
            </w:tcBorders>
            <w:shd w:val="clear" w:color="auto" w:fill="auto"/>
            <w:noWrap/>
            <w:hideMark/>
          </w:tcPr>
          <w:p w14:paraId="458E5CB3"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Transferencias otorgadas por pagar a corto plazo</w:t>
            </w:r>
          </w:p>
        </w:tc>
        <w:tc>
          <w:tcPr>
            <w:tcW w:w="709" w:type="dxa"/>
            <w:tcBorders>
              <w:top w:val="nil"/>
              <w:left w:val="nil"/>
              <w:bottom w:val="single" w:sz="4" w:space="0" w:color="auto"/>
              <w:right w:val="single" w:sz="4" w:space="0" w:color="auto"/>
            </w:tcBorders>
            <w:shd w:val="clear" w:color="auto" w:fill="auto"/>
            <w:noWrap/>
            <w:hideMark/>
          </w:tcPr>
          <w:p w14:paraId="018715E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4000</w:t>
            </w:r>
          </w:p>
        </w:tc>
        <w:tc>
          <w:tcPr>
            <w:tcW w:w="1134" w:type="dxa"/>
            <w:tcBorders>
              <w:top w:val="nil"/>
              <w:left w:val="nil"/>
              <w:bottom w:val="single" w:sz="4" w:space="0" w:color="auto"/>
              <w:right w:val="single" w:sz="4" w:space="0" w:color="auto"/>
            </w:tcBorders>
            <w:shd w:val="clear" w:color="auto" w:fill="auto"/>
            <w:noWrap/>
            <w:hideMark/>
          </w:tcPr>
          <w:p w14:paraId="365ED37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6EE46D8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4C4BAB4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639E54BC"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5AB2B769"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2116</w:t>
            </w:r>
          </w:p>
        </w:tc>
        <w:tc>
          <w:tcPr>
            <w:tcW w:w="4111" w:type="dxa"/>
            <w:tcBorders>
              <w:top w:val="nil"/>
              <w:left w:val="nil"/>
              <w:bottom w:val="single" w:sz="4" w:space="0" w:color="auto"/>
              <w:right w:val="single" w:sz="4" w:space="0" w:color="auto"/>
            </w:tcBorders>
            <w:shd w:val="clear" w:color="auto" w:fill="auto"/>
            <w:noWrap/>
            <w:hideMark/>
          </w:tcPr>
          <w:p w14:paraId="153328AA"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Intereses, comisiones y otros gastos de la deuda pública por pagar a corto plazo</w:t>
            </w:r>
          </w:p>
        </w:tc>
        <w:tc>
          <w:tcPr>
            <w:tcW w:w="709" w:type="dxa"/>
            <w:tcBorders>
              <w:top w:val="nil"/>
              <w:left w:val="nil"/>
              <w:bottom w:val="single" w:sz="4" w:space="0" w:color="auto"/>
              <w:right w:val="single" w:sz="4" w:space="0" w:color="auto"/>
            </w:tcBorders>
            <w:shd w:val="clear" w:color="auto" w:fill="auto"/>
            <w:noWrap/>
            <w:hideMark/>
          </w:tcPr>
          <w:p w14:paraId="66ABBC5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9000</w:t>
            </w:r>
          </w:p>
        </w:tc>
        <w:tc>
          <w:tcPr>
            <w:tcW w:w="1134" w:type="dxa"/>
            <w:tcBorders>
              <w:top w:val="nil"/>
              <w:left w:val="nil"/>
              <w:bottom w:val="single" w:sz="4" w:space="0" w:color="auto"/>
              <w:right w:val="single" w:sz="4" w:space="0" w:color="auto"/>
            </w:tcBorders>
            <w:shd w:val="clear" w:color="auto" w:fill="auto"/>
            <w:noWrap/>
            <w:hideMark/>
          </w:tcPr>
          <w:p w14:paraId="6565A42E"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0758709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66E4690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B5CA62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C25A1AA"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2119</w:t>
            </w:r>
          </w:p>
        </w:tc>
        <w:tc>
          <w:tcPr>
            <w:tcW w:w="4111" w:type="dxa"/>
            <w:tcBorders>
              <w:top w:val="nil"/>
              <w:left w:val="nil"/>
              <w:bottom w:val="single" w:sz="4" w:space="0" w:color="auto"/>
              <w:right w:val="single" w:sz="4" w:space="0" w:color="auto"/>
            </w:tcBorders>
            <w:shd w:val="clear" w:color="auto" w:fill="auto"/>
            <w:noWrap/>
            <w:hideMark/>
          </w:tcPr>
          <w:p w14:paraId="5AB7C9C7"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Otras cuentas por pagar a corto plazo</w:t>
            </w:r>
          </w:p>
        </w:tc>
        <w:tc>
          <w:tcPr>
            <w:tcW w:w="709" w:type="dxa"/>
            <w:tcBorders>
              <w:top w:val="nil"/>
              <w:left w:val="nil"/>
              <w:bottom w:val="single" w:sz="4" w:space="0" w:color="auto"/>
              <w:right w:val="single" w:sz="4" w:space="0" w:color="auto"/>
            </w:tcBorders>
            <w:shd w:val="clear" w:color="auto" w:fill="auto"/>
            <w:noWrap/>
            <w:hideMark/>
          </w:tcPr>
          <w:p w14:paraId="57C4BB0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7000</w:t>
            </w:r>
          </w:p>
        </w:tc>
        <w:tc>
          <w:tcPr>
            <w:tcW w:w="1134" w:type="dxa"/>
            <w:tcBorders>
              <w:top w:val="nil"/>
              <w:left w:val="nil"/>
              <w:bottom w:val="single" w:sz="4" w:space="0" w:color="auto"/>
              <w:right w:val="single" w:sz="4" w:space="0" w:color="auto"/>
            </w:tcBorders>
            <w:shd w:val="clear" w:color="auto" w:fill="auto"/>
            <w:noWrap/>
            <w:hideMark/>
          </w:tcPr>
          <w:p w14:paraId="3147A5F4"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24B65423"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1C69C09"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bl>
    <w:p w14:paraId="6C5F6922" w14:textId="77777777" w:rsidR="007610BC" w:rsidRPr="007306C6" w:rsidRDefault="007610BC" w:rsidP="007610BC">
      <w:pPr>
        <w:spacing w:after="0" w:line="240" w:lineRule="auto"/>
        <w:jc w:val="both"/>
        <w:rPr>
          <w:rFonts w:cs="Calibri"/>
          <w:b/>
        </w:rPr>
      </w:pPr>
    </w:p>
    <w:p w14:paraId="23511FF6" w14:textId="77777777" w:rsidR="007610BC" w:rsidRPr="00E74967" w:rsidRDefault="007610BC" w:rsidP="007D1E76">
      <w:pPr>
        <w:jc w:val="both"/>
        <w:rPr>
          <w:rFonts w:cs="Calibri"/>
        </w:rPr>
      </w:pPr>
    </w:p>
    <w:sectPr w:rsidR="007610BC" w:rsidRPr="00E74967" w:rsidSect="00657009">
      <w:headerReference w:type="default" r:id="rId13"/>
      <w:pgSz w:w="12240" w:h="15840"/>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CFFDA" w14:textId="77777777" w:rsidR="0074249C" w:rsidRDefault="0074249C" w:rsidP="00E00323">
      <w:pPr>
        <w:spacing w:after="0" w:line="240" w:lineRule="auto"/>
      </w:pPr>
      <w:r>
        <w:separator/>
      </w:r>
    </w:p>
  </w:endnote>
  <w:endnote w:type="continuationSeparator" w:id="0">
    <w:p w14:paraId="37EE21ED" w14:textId="77777777" w:rsidR="0074249C" w:rsidRDefault="0074249C"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9E6E7" w14:textId="77777777" w:rsidR="0074249C" w:rsidRDefault="0074249C" w:rsidP="00E00323">
      <w:pPr>
        <w:spacing w:after="0" w:line="240" w:lineRule="auto"/>
      </w:pPr>
      <w:r>
        <w:separator/>
      </w:r>
    </w:p>
  </w:footnote>
  <w:footnote w:type="continuationSeparator" w:id="0">
    <w:p w14:paraId="0F99E4CD" w14:textId="77777777" w:rsidR="0074249C" w:rsidRDefault="0074249C"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C548F" w14:textId="2631B0EE" w:rsidR="00154BA3" w:rsidRDefault="00C62310" w:rsidP="00154BA3">
    <w:pPr>
      <w:pStyle w:val="Encabezado"/>
      <w:jc w:val="center"/>
    </w:pPr>
    <w:r>
      <w:t>INSTITUTO DE ALFABETIZACIÓN Y EDUCACIÓN BÁSICA PARA ADULTOS DEL ESTADO DE GTO.</w:t>
    </w:r>
  </w:p>
  <w:p w14:paraId="0C78D9A0" w14:textId="77777777" w:rsidR="00C62310" w:rsidRDefault="00C62310" w:rsidP="00C62310">
    <w:pPr>
      <w:pStyle w:val="Encabezado"/>
      <w:tabs>
        <w:tab w:val="left" w:pos="37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91CE6"/>
    <w:rsid w:val="000B7810"/>
    <w:rsid w:val="00154BA3"/>
    <w:rsid w:val="001973A2"/>
    <w:rsid w:val="001C75F2"/>
    <w:rsid w:val="001D2063"/>
    <w:rsid w:val="00435A87"/>
    <w:rsid w:val="004A58C8"/>
    <w:rsid w:val="005D3E43"/>
    <w:rsid w:val="005E231E"/>
    <w:rsid w:val="00657009"/>
    <w:rsid w:val="00681C79"/>
    <w:rsid w:val="0074249C"/>
    <w:rsid w:val="007459C5"/>
    <w:rsid w:val="007610BC"/>
    <w:rsid w:val="007714AB"/>
    <w:rsid w:val="007D1E76"/>
    <w:rsid w:val="0086459F"/>
    <w:rsid w:val="008E076C"/>
    <w:rsid w:val="00AA41E5"/>
    <w:rsid w:val="00AE1F6A"/>
    <w:rsid w:val="00C62310"/>
    <w:rsid w:val="00D13C44"/>
    <w:rsid w:val="00D975B1"/>
    <w:rsid w:val="00E00323"/>
    <w:rsid w:val="00E74967"/>
    <w:rsid w:val="00EA79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Puesto">
    <w:name w:val="Title"/>
    <w:basedOn w:val="Normal"/>
    <w:next w:val="Normal"/>
    <w:link w:val="Puest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A41E5"/>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file:///C:\Documents%20and%20Settings\ifrancob\lquiroz\AppData\Local\Microsoft\Windows\Temporary%20Internet%20Files\Content.Outlook\HBGSO9P3\MODELO%20CTA%202013.ppt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1947</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12634</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lanixterminal</cp:lastModifiedBy>
  <cp:revision>3</cp:revision>
  <dcterms:created xsi:type="dcterms:W3CDTF">2017-04-19T17:55:00Z</dcterms:created>
  <dcterms:modified xsi:type="dcterms:W3CDTF">2017-04-19T17:56:00Z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