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4948"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327157"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p w14:paraId="2F65D88B" w14:textId="77777777" w:rsidR="007D1E76" w:rsidRPr="00E74967" w:rsidRDefault="007D1E76" w:rsidP="00CB41C4">
      <w:pPr>
        <w:tabs>
          <w:tab w:val="left" w:leader="underscore" w:pos="9639"/>
        </w:tabs>
        <w:spacing w:after="0" w:line="240" w:lineRule="auto"/>
        <w:jc w:val="both"/>
        <w:rPr>
          <w:rFonts w:cs="Calibri"/>
        </w:rPr>
      </w:pPr>
    </w:p>
    <w:p w14:paraId="79E36F9B" w14:textId="77777777" w:rsidR="00185591" w:rsidRPr="000C3365" w:rsidRDefault="00185591" w:rsidP="00185591">
      <w:pPr>
        <w:pStyle w:val="Ttulo2"/>
        <w:rPr>
          <w:rFonts w:asciiTheme="minorHAnsi" w:hAnsiTheme="minorHAnsi" w:cstheme="minorHAnsi"/>
          <w:b/>
          <w:color w:val="auto"/>
          <w:sz w:val="22"/>
        </w:rPr>
      </w:pPr>
      <w:bookmarkStart w:id="0" w:name="_Toc526939477"/>
      <w:bookmarkStart w:id="1" w:name="_Toc526939555"/>
      <w:r w:rsidRPr="000C3365">
        <w:rPr>
          <w:rFonts w:asciiTheme="minorHAnsi" w:hAnsiTheme="minorHAnsi" w:cstheme="minorHAnsi"/>
          <w:b/>
          <w:color w:val="auto"/>
          <w:sz w:val="22"/>
        </w:rPr>
        <w:t>1. Introducción:</w:t>
      </w:r>
      <w:bookmarkEnd w:id="0"/>
      <w:bookmarkEnd w:id="1"/>
    </w:p>
    <w:p w14:paraId="253D7E8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Programas Educativos de Alfabetización y Educación Básica para Adultos dirigidos a las personas mayores de 15 años</w:t>
      </w:r>
    </w:p>
    <w:p w14:paraId="015F8579" w14:textId="77777777" w:rsidR="00185591" w:rsidRPr="00E74967" w:rsidRDefault="00185591" w:rsidP="00185591">
      <w:pPr>
        <w:tabs>
          <w:tab w:val="left" w:leader="underscore" w:pos="9639"/>
        </w:tabs>
        <w:spacing w:after="0" w:line="240" w:lineRule="auto"/>
        <w:jc w:val="both"/>
        <w:rPr>
          <w:rFonts w:cs="Calibri"/>
        </w:rPr>
      </w:pPr>
    </w:p>
    <w:p w14:paraId="4890187F" w14:textId="77777777" w:rsidR="00185591" w:rsidRPr="000C3365" w:rsidRDefault="00185591" w:rsidP="00185591">
      <w:pPr>
        <w:pStyle w:val="Ttulo2"/>
        <w:rPr>
          <w:rFonts w:asciiTheme="minorHAnsi" w:hAnsiTheme="minorHAnsi" w:cstheme="minorHAnsi"/>
          <w:b/>
          <w:color w:val="auto"/>
          <w:sz w:val="22"/>
        </w:rPr>
      </w:pPr>
      <w:bookmarkStart w:id="2" w:name="_Toc526939478"/>
      <w:bookmarkStart w:id="3" w:name="_Toc526939556"/>
      <w:r w:rsidRPr="000C3365">
        <w:rPr>
          <w:rFonts w:asciiTheme="minorHAnsi" w:hAnsiTheme="minorHAnsi" w:cstheme="minorHAnsi"/>
          <w:b/>
          <w:color w:val="auto"/>
          <w:sz w:val="22"/>
        </w:rPr>
        <w:t>2. Describir el panorama Económico y Financiero:</w:t>
      </w:r>
      <w:bookmarkEnd w:id="2"/>
      <w:bookmarkEnd w:id="3"/>
    </w:p>
    <w:p w14:paraId="5B089A0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Cumplimiento de las metas inicialmente planeadas, mediante el presupuesto asignado</w:t>
      </w:r>
    </w:p>
    <w:p w14:paraId="740AC8D3" w14:textId="77777777" w:rsidR="00185591" w:rsidRPr="00E74967" w:rsidRDefault="00185591" w:rsidP="00185591">
      <w:pPr>
        <w:tabs>
          <w:tab w:val="left" w:leader="underscore" w:pos="9639"/>
        </w:tabs>
        <w:spacing w:after="0" w:line="240" w:lineRule="auto"/>
        <w:jc w:val="both"/>
        <w:rPr>
          <w:rFonts w:cs="Calibri"/>
        </w:rPr>
      </w:pPr>
    </w:p>
    <w:p w14:paraId="5CC73A44" w14:textId="77777777" w:rsidR="00185591" w:rsidRPr="000C3365" w:rsidRDefault="00185591" w:rsidP="00185591">
      <w:pPr>
        <w:pStyle w:val="Ttulo2"/>
        <w:rPr>
          <w:rFonts w:asciiTheme="minorHAnsi" w:hAnsiTheme="minorHAnsi" w:cstheme="minorHAnsi"/>
          <w:b/>
          <w:color w:val="auto"/>
          <w:sz w:val="22"/>
        </w:rPr>
      </w:pPr>
      <w:bookmarkStart w:id="4" w:name="_Toc526939479"/>
      <w:bookmarkStart w:id="5" w:name="_Toc526939557"/>
      <w:r w:rsidRPr="000C3365">
        <w:rPr>
          <w:rFonts w:asciiTheme="minorHAnsi" w:hAnsiTheme="minorHAnsi" w:cstheme="minorHAnsi"/>
          <w:b/>
          <w:color w:val="auto"/>
          <w:sz w:val="22"/>
        </w:rPr>
        <w:t>3. Autorización e Historia:</w:t>
      </w:r>
      <w:bookmarkEnd w:id="4"/>
      <w:bookmarkEnd w:id="5"/>
    </w:p>
    <w:p w14:paraId="13CD4011" w14:textId="77777777" w:rsidR="00185591" w:rsidRDefault="00185591" w:rsidP="00185591">
      <w:pPr>
        <w:tabs>
          <w:tab w:val="left" w:leader="underscore" w:pos="9639"/>
        </w:tabs>
        <w:spacing w:after="0" w:line="240" w:lineRule="auto"/>
        <w:jc w:val="both"/>
        <w:rPr>
          <w:rFonts w:cs="Calibri"/>
        </w:rPr>
      </w:pPr>
      <w:r w:rsidRPr="00E74967">
        <w:rPr>
          <w:rFonts w:cs="Calibri"/>
        </w:rPr>
        <w:t>Se informará sobre:</w:t>
      </w:r>
    </w:p>
    <w:p w14:paraId="07263EB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614050D6" w14:textId="41FCC747" w:rsidR="00185591" w:rsidRPr="00E9155E" w:rsidRDefault="00185591" w:rsidP="00185591">
      <w:pPr>
        <w:tabs>
          <w:tab w:val="left" w:leader="underscore" w:pos="9639"/>
        </w:tabs>
        <w:spacing w:after="0" w:line="240" w:lineRule="auto"/>
        <w:jc w:val="both"/>
        <w:rPr>
          <w:rFonts w:cs="Calibri"/>
        </w:rPr>
      </w:pPr>
      <w:r w:rsidRPr="00E9155E">
        <w:rPr>
          <w:rFonts w:cs="Calibri"/>
        </w:rPr>
        <w:t>27 de noviembre del 2012. Decreto Gubernativo Número 4</w:t>
      </w:r>
      <w:r w:rsidR="001533DF">
        <w:rPr>
          <w:rFonts w:cs="Calibri"/>
        </w:rPr>
        <w:t>.</w:t>
      </w:r>
    </w:p>
    <w:p w14:paraId="2E71D77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6062FB1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Descentralización de Recursos Financieros, Humanos y Materiales por parte de la Federación al Instituto.</w:t>
      </w:r>
    </w:p>
    <w:p w14:paraId="50488B69" w14:textId="77777777" w:rsidR="00185591" w:rsidRPr="00E74967" w:rsidRDefault="00185591" w:rsidP="00185591">
      <w:pPr>
        <w:tabs>
          <w:tab w:val="left" w:leader="underscore" w:pos="9639"/>
        </w:tabs>
        <w:spacing w:after="0" w:line="240" w:lineRule="auto"/>
        <w:jc w:val="both"/>
        <w:rPr>
          <w:rFonts w:cs="Calibri"/>
        </w:rPr>
      </w:pPr>
    </w:p>
    <w:p w14:paraId="0A190900" w14:textId="77777777" w:rsidR="00185591" w:rsidRPr="000C3365" w:rsidRDefault="00185591" w:rsidP="00185591">
      <w:pPr>
        <w:pStyle w:val="Ttulo2"/>
        <w:rPr>
          <w:rFonts w:asciiTheme="minorHAnsi" w:hAnsiTheme="minorHAnsi" w:cstheme="minorHAnsi"/>
          <w:b/>
          <w:color w:val="auto"/>
          <w:sz w:val="22"/>
        </w:rPr>
      </w:pPr>
      <w:bookmarkStart w:id="6" w:name="_Toc526939480"/>
      <w:bookmarkStart w:id="7" w:name="_Toc526939558"/>
      <w:r w:rsidRPr="000C3365">
        <w:rPr>
          <w:rFonts w:asciiTheme="minorHAnsi" w:hAnsiTheme="minorHAnsi" w:cstheme="minorHAnsi"/>
          <w:b/>
          <w:color w:val="auto"/>
          <w:sz w:val="22"/>
        </w:rPr>
        <w:t>4. Organización y Objeto Social:</w:t>
      </w:r>
      <w:bookmarkEnd w:id="6"/>
      <w:bookmarkEnd w:id="7"/>
    </w:p>
    <w:p w14:paraId="7005E439"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0F3C195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0FA4EB09"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6599BDF3"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56191188" w14:textId="6E4454B3" w:rsidR="00185591" w:rsidRPr="00E9155E" w:rsidRDefault="00185591" w:rsidP="00185591">
      <w:pPr>
        <w:tabs>
          <w:tab w:val="left" w:leader="underscore" w:pos="9639"/>
        </w:tabs>
        <w:spacing w:after="0" w:line="240" w:lineRule="auto"/>
        <w:jc w:val="both"/>
        <w:rPr>
          <w:rFonts w:cs="Calibri"/>
        </w:rPr>
      </w:pPr>
      <w:r w:rsidRPr="00E9155E">
        <w:rPr>
          <w:rFonts w:cs="Calibri"/>
        </w:rPr>
        <w:t>Atender a las personas mayores de 15 años que están fuera d</w:t>
      </w:r>
      <w:r w:rsidR="001533DF">
        <w:rPr>
          <w:rFonts w:cs="Calibri"/>
        </w:rPr>
        <w:t>e</w:t>
      </w:r>
      <w:r w:rsidRPr="00E9155E">
        <w:rPr>
          <w:rFonts w:cs="Calibri"/>
        </w:rPr>
        <w:t>l sistema educativo no formal, en la modalidad de alfabetización y educación básica, en sus niveles de primaria y secundaria.</w:t>
      </w:r>
    </w:p>
    <w:p w14:paraId="2F84E64B" w14:textId="7255CFCD"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w:t>
      </w:r>
    </w:p>
    <w:p w14:paraId="18838FBC" w14:textId="06EEAA47" w:rsidR="00185591" w:rsidRPr="00E9155E" w:rsidRDefault="001533DF" w:rsidP="00185591">
      <w:pPr>
        <w:tabs>
          <w:tab w:val="left" w:leader="underscore" w:pos="9639"/>
        </w:tabs>
        <w:spacing w:after="0" w:line="240" w:lineRule="auto"/>
        <w:jc w:val="both"/>
        <w:rPr>
          <w:rFonts w:cs="Calibri"/>
        </w:rPr>
      </w:pPr>
      <w:r>
        <w:rPr>
          <w:rFonts w:cs="Calibri"/>
        </w:rPr>
        <w:t>Enero a diciembre 2019.</w:t>
      </w:r>
    </w:p>
    <w:p w14:paraId="1B188650" w14:textId="61622BB1"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w:t>
      </w:r>
    </w:p>
    <w:p w14:paraId="16E55B3F" w14:textId="4A331F7C" w:rsidR="00185591" w:rsidRPr="00E9155E" w:rsidRDefault="00185591" w:rsidP="00185591">
      <w:pPr>
        <w:tabs>
          <w:tab w:val="left" w:leader="underscore" w:pos="9639"/>
        </w:tabs>
        <w:spacing w:after="0" w:line="240" w:lineRule="auto"/>
        <w:jc w:val="both"/>
        <w:rPr>
          <w:rFonts w:cs="Calibri"/>
        </w:rPr>
      </w:pPr>
      <w:r w:rsidRPr="00E9155E">
        <w:rPr>
          <w:rFonts w:cs="Calibri"/>
        </w:rPr>
        <w:t xml:space="preserve">Persona Moral sin fines </w:t>
      </w:r>
      <w:r w:rsidR="001533DF">
        <w:rPr>
          <w:rFonts w:cs="Calibri"/>
        </w:rPr>
        <w:t>de lucro.</w:t>
      </w:r>
    </w:p>
    <w:p w14:paraId="0E62C75C" w14:textId="77777777" w:rsidR="00F16E7A" w:rsidRDefault="00F16E7A" w:rsidP="00185591">
      <w:pPr>
        <w:tabs>
          <w:tab w:val="left" w:leader="underscore" w:pos="9639"/>
        </w:tabs>
        <w:spacing w:after="0" w:line="240" w:lineRule="auto"/>
        <w:jc w:val="both"/>
        <w:rPr>
          <w:rFonts w:cs="Calibri"/>
          <w:b/>
        </w:rPr>
      </w:pPr>
    </w:p>
    <w:p w14:paraId="6D937609" w14:textId="4920E7A0"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e)</w:t>
      </w:r>
      <w:r w:rsidRPr="00E74967">
        <w:rPr>
          <w:rFonts w:cs="Calibri"/>
        </w:rPr>
        <w:t xml:space="preserve"> Co</w:t>
      </w:r>
      <w:r w:rsidR="001533DF">
        <w:rPr>
          <w:rFonts w:cs="Calibri"/>
        </w:rPr>
        <w:t>nsideraciones fiscales del ente</w:t>
      </w:r>
      <w:r w:rsidRPr="00E74967">
        <w:rPr>
          <w:rFonts w:cs="Calibri"/>
        </w:rPr>
        <w:t>.</w:t>
      </w:r>
    </w:p>
    <w:p w14:paraId="4D241B73"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0528F3AF" w14:textId="41FFB032"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14:paraId="0F194463" w14:textId="7E89D8ED" w:rsidR="00185591" w:rsidRDefault="00185591" w:rsidP="00185591">
      <w:pPr>
        <w:tabs>
          <w:tab w:val="left" w:leader="underscore" w:pos="9639"/>
        </w:tabs>
        <w:spacing w:after="0" w:line="240" w:lineRule="auto"/>
        <w:jc w:val="both"/>
        <w:rPr>
          <w:rFonts w:cs="Calibri"/>
        </w:rPr>
      </w:pPr>
    </w:p>
    <w:p w14:paraId="57614C33" w14:textId="15C2A267" w:rsidR="00185591" w:rsidRPr="00E74967" w:rsidRDefault="00CB5B0B" w:rsidP="00185591">
      <w:pPr>
        <w:tabs>
          <w:tab w:val="left" w:leader="underscore" w:pos="9639"/>
        </w:tabs>
        <w:spacing w:after="0" w:line="240" w:lineRule="auto"/>
        <w:jc w:val="both"/>
        <w:rPr>
          <w:rFonts w:cs="Calibri"/>
        </w:rPr>
      </w:pPr>
      <w:r>
        <w:rPr>
          <w:rFonts w:cs="Calibri"/>
          <w:noProof/>
          <w:lang w:eastAsia="es-MX"/>
        </w:rPr>
        <w:drawing>
          <wp:anchor distT="0" distB="0" distL="114300" distR="114300" simplePos="0" relativeHeight="251660288" behindDoc="1" locked="0" layoutInCell="1" allowOverlap="1" wp14:anchorId="35ABE31E" wp14:editId="38E6C183">
            <wp:simplePos x="0" y="0"/>
            <wp:positionH relativeFrom="margin">
              <wp:posOffset>114300</wp:posOffset>
            </wp:positionH>
            <wp:positionV relativeFrom="paragraph">
              <wp:posOffset>10160</wp:posOffset>
            </wp:positionV>
            <wp:extent cx="5724525" cy="3778250"/>
            <wp:effectExtent l="0" t="0" r="9525" b="0"/>
            <wp:wrapTight wrapText="bothSides">
              <wp:wrapPolygon edited="0">
                <wp:start x="0" y="0"/>
                <wp:lineTo x="0" y="21455"/>
                <wp:lineTo x="21564" y="21455"/>
                <wp:lineTo x="2156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778250"/>
                    </a:xfrm>
                    <a:prstGeom prst="rect">
                      <a:avLst/>
                    </a:prstGeom>
                    <a:noFill/>
                  </pic:spPr>
                </pic:pic>
              </a:graphicData>
            </a:graphic>
            <wp14:sizeRelH relativeFrom="page">
              <wp14:pctWidth>0</wp14:pctWidth>
            </wp14:sizeRelH>
            <wp14:sizeRelV relativeFrom="page">
              <wp14:pctHeight>0</wp14:pctHeight>
            </wp14:sizeRelV>
          </wp:anchor>
        </w:drawing>
      </w:r>
    </w:p>
    <w:p w14:paraId="7F499F37" w14:textId="77777777" w:rsidR="00CB5B0B" w:rsidRDefault="00CB5B0B" w:rsidP="00185591">
      <w:pPr>
        <w:tabs>
          <w:tab w:val="left" w:leader="underscore" w:pos="9639"/>
        </w:tabs>
        <w:spacing w:after="0" w:line="240" w:lineRule="auto"/>
        <w:jc w:val="both"/>
        <w:rPr>
          <w:rFonts w:cs="Calibri"/>
          <w:b/>
        </w:rPr>
      </w:pPr>
    </w:p>
    <w:p w14:paraId="7AE0D5B1" w14:textId="77777777" w:rsidR="00CB5B0B" w:rsidRDefault="00CB5B0B" w:rsidP="00185591">
      <w:pPr>
        <w:tabs>
          <w:tab w:val="left" w:leader="underscore" w:pos="9639"/>
        </w:tabs>
        <w:spacing w:after="0" w:line="240" w:lineRule="auto"/>
        <w:jc w:val="both"/>
        <w:rPr>
          <w:rFonts w:cs="Calibri"/>
          <w:b/>
        </w:rPr>
      </w:pPr>
    </w:p>
    <w:p w14:paraId="42A7A3B0" w14:textId="77777777" w:rsidR="00CB5B0B" w:rsidRDefault="00CB5B0B" w:rsidP="00185591">
      <w:pPr>
        <w:tabs>
          <w:tab w:val="left" w:leader="underscore" w:pos="9639"/>
        </w:tabs>
        <w:spacing w:after="0" w:line="240" w:lineRule="auto"/>
        <w:jc w:val="both"/>
        <w:rPr>
          <w:rFonts w:cs="Calibri"/>
          <w:b/>
        </w:rPr>
      </w:pPr>
    </w:p>
    <w:p w14:paraId="0F6D3745" w14:textId="77777777" w:rsidR="00CB5B0B" w:rsidRDefault="00CB5B0B" w:rsidP="00185591">
      <w:pPr>
        <w:tabs>
          <w:tab w:val="left" w:leader="underscore" w:pos="9639"/>
        </w:tabs>
        <w:spacing w:after="0" w:line="240" w:lineRule="auto"/>
        <w:jc w:val="both"/>
        <w:rPr>
          <w:rFonts w:cs="Calibri"/>
          <w:b/>
        </w:rPr>
      </w:pPr>
    </w:p>
    <w:p w14:paraId="151DDBB5" w14:textId="77777777" w:rsidR="00CB5B0B" w:rsidRDefault="00CB5B0B" w:rsidP="00185591">
      <w:pPr>
        <w:tabs>
          <w:tab w:val="left" w:leader="underscore" w:pos="9639"/>
        </w:tabs>
        <w:spacing w:after="0" w:line="240" w:lineRule="auto"/>
        <w:jc w:val="both"/>
        <w:rPr>
          <w:rFonts w:cs="Calibri"/>
          <w:b/>
        </w:rPr>
      </w:pPr>
    </w:p>
    <w:p w14:paraId="26D664D9" w14:textId="77777777" w:rsidR="00CB5B0B" w:rsidRDefault="00CB5B0B" w:rsidP="00185591">
      <w:pPr>
        <w:tabs>
          <w:tab w:val="left" w:leader="underscore" w:pos="9639"/>
        </w:tabs>
        <w:spacing w:after="0" w:line="240" w:lineRule="auto"/>
        <w:jc w:val="both"/>
        <w:rPr>
          <w:rFonts w:cs="Calibri"/>
          <w:b/>
        </w:rPr>
      </w:pPr>
    </w:p>
    <w:p w14:paraId="5BE4BD9B" w14:textId="77777777" w:rsidR="00CB5B0B" w:rsidRDefault="00CB5B0B" w:rsidP="00185591">
      <w:pPr>
        <w:tabs>
          <w:tab w:val="left" w:leader="underscore" w:pos="9639"/>
        </w:tabs>
        <w:spacing w:after="0" w:line="240" w:lineRule="auto"/>
        <w:jc w:val="both"/>
        <w:rPr>
          <w:rFonts w:cs="Calibri"/>
          <w:b/>
        </w:rPr>
      </w:pPr>
    </w:p>
    <w:p w14:paraId="22CC94B1" w14:textId="77777777" w:rsidR="00CB5B0B" w:rsidRDefault="00CB5B0B" w:rsidP="00185591">
      <w:pPr>
        <w:tabs>
          <w:tab w:val="left" w:leader="underscore" w:pos="9639"/>
        </w:tabs>
        <w:spacing w:after="0" w:line="240" w:lineRule="auto"/>
        <w:jc w:val="both"/>
        <w:rPr>
          <w:rFonts w:cs="Calibri"/>
          <w:b/>
        </w:rPr>
      </w:pPr>
    </w:p>
    <w:p w14:paraId="6BE5D94E" w14:textId="77777777" w:rsidR="00CB5B0B" w:rsidRDefault="00CB5B0B" w:rsidP="00185591">
      <w:pPr>
        <w:tabs>
          <w:tab w:val="left" w:leader="underscore" w:pos="9639"/>
        </w:tabs>
        <w:spacing w:after="0" w:line="240" w:lineRule="auto"/>
        <w:jc w:val="both"/>
        <w:rPr>
          <w:rFonts w:cs="Calibri"/>
          <w:b/>
        </w:rPr>
      </w:pPr>
    </w:p>
    <w:p w14:paraId="54BD142B" w14:textId="77777777" w:rsidR="00CB5B0B" w:rsidRDefault="00CB5B0B" w:rsidP="00185591">
      <w:pPr>
        <w:tabs>
          <w:tab w:val="left" w:leader="underscore" w:pos="9639"/>
        </w:tabs>
        <w:spacing w:after="0" w:line="240" w:lineRule="auto"/>
        <w:jc w:val="both"/>
        <w:rPr>
          <w:rFonts w:cs="Calibri"/>
          <w:b/>
        </w:rPr>
      </w:pPr>
    </w:p>
    <w:p w14:paraId="7E2B9127" w14:textId="77777777" w:rsidR="00CB5B0B" w:rsidRDefault="00CB5B0B" w:rsidP="00185591">
      <w:pPr>
        <w:tabs>
          <w:tab w:val="left" w:leader="underscore" w:pos="9639"/>
        </w:tabs>
        <w:spacing w:after="0" w:line="240" w:lineRule="auto"/>
        <w:jc w:val="both"/>
        <w:rPr>
          <w:rFonts w:cs="Calibri"/>
          <w:b/>
        </w:rPr>
      </w:pPr>
    </w:p>
    <w:p w14:paraId="1DD2F320" w14:textId="77777777" w:rsidR="00CB5B0B" w:rsidRDefault="00CB5B0B" w:rsidP="00185591">
      <w:pPr>
        <w:tabs>
          <w:tab w:val="left" w:leader="underscore" w:pos="9639"/>
        </w:tabs>
        <w:spacing w:after="0" w:line="240" w:lineRule="auto"/>
        <w:jc w:val="both"/>
        <w:rPr>
          <w:rFonts w:cs="Calibri"/>
          <w:b/>
        </w:rPr>
      </w:pPr>
    </w:p>
    <w:p w14:paraId="69DF8288" w14:textId="77777777" w:rsidR="00CB5B0B" w:rsidRDefault="00CB5B0B" w:rsidP="00185591">
      <w:pPr>
        <w:tabs>
          <w:tab w:val="left" w:leader="underscore" w:pos="9639"/>
        </w:tabs>
        <w:spacing w:after="0" w:line="240" w:lineRule="auto"/>
        <w:jc w:val="both"/>
        <w:rPr>
          <w:rFonts w:cs="Calibri"/>
          <w:b/>
        </w:rPr>
      </w:pPr>
    </w:p>
    <w:p w14:paraId="73DE1D30" w14:textId="77777777" w:rsidR="00CB5B0B" w:rsidRDefault="00CB5B0B" w:rsidP="00185591">
      <w:pPr>
        <w:tabs>
          <w:tab w:val="left" w:leader="underscore" w:pos="9639"/>
        </w:tabs>
        <w:spacing w:after="0" w:line="240" w:lineRule="auto"/>
        <w:jc w:val="both"/>
        <w:rPr>
          <w:rFonts w:cs="Calibri"/>
          <w:b/>
        </w:rPr>
      </w:pPr>
    </w:p>
    <w:p w14:paraId="7F926242" w14:textId="77777777" w:rsidR="00CB5B0B" w:rsidRDefault="00CB5B0B" w:rsidP="00185591">
      <w:pPr>
        <w:tabs>
          <w:tab w:val="left" w:leader="underscore" w:pos="9639"/>
        </w:tabs>
        <w:spacing w:after="0" w:line="240" w:lineRule="auto"/>
        <w:jc w:val="both"/>
        <w:rPr>
          <w:rFonts w:cs="Calibri"/>
          <w:b/>
        </w:rPr>
      </w:pPr>
    </w:p>
    <w:p w14:paraId="0F65E7AA" w14:textId="77777777" w:rsidR="00CB5B0B" w:rsidRDefault="00CB5B0B" w:rsidP="00185591">
      <w:pPr>
        <w:tabs>
          <w:tab w:val="left" w:leader="underscore" w:pos="9639"/>
        </w:tabs>
        <w:spacing w:after="0" w:line="240" w:lineRule="auto"/>
        <w:jc w:val="both"/>
        <w:rPr>
          <w:rFonts w:cs="Calibri"/>
          <w:b/>
        </w:rPr>
      </w:pPr>
    </w:p>
    <w:p w14:paraId="6F6C8DA3" w14:textId="77777777" w:rsidR="00CB5B0B" w:rsidRDefault="00CB5B0B" w:rsidP="00185591">
      <w:pPr>
        <w:tabs>
          <w:tab w:val="left" w:leader="underscore" w:pos="9639"/>
        </w:tabs>
        <w:spacing w:after="0" w:line="240" w:lineRule="auto"/>
        <w:jc w:val="both"/>
        <w:rPr>
          <w:rFonts w:cs="Calibri"/>
          <w:b/>
        </w:rPr>
      </w:pPr>
    </w:p>
    <w:p w14:paraId="61B27421" w14:textId="77777777" w:rsidR="00CB5B0B" w:rsidRDefault="00CB5B0B" w:rsidP="00185591">
      <w:pPr>
        <w:tabs>
          <w:tab w:val="left" w:leader="underscore" w:pos="9639"/>
        </w:tabs>
        <w:spacing w:after="0" w:line="240" w:lineRule="auto"/>
        <w:jc w:val="both"/>
        <w:rPr>
          <w:rFonts w:cs="Calibri"/>
          <w:b/>
        </w:rPr>
      </w:pPr>
    </w:p>
    <w:p w14:paraId="6B41EC01" w14:textId="77777777" w:rsidR="00CB5B0B" w:rsidRDefault="00CB5B0B" w:rsidP="00185591">
      <w:pPr>
        <w:tabs>
          <w:tab w:val="left" w:leader="underscore" w:pos="9639"/>
        </w:tabs>
        <w:spacing w:after="0" w:line="240" w:lineRule="auto"/>
        <w:jc w:val="both"/>
        <w:rPr>
          <w:rFonts w:cs="Calibri"/>
          <w:b/>
        </w:rPr>
      </w:pPr>
    </w:p>
    <w:p w14:paraId="056210DC" w14:textId="5F4F37B1" w:rsidR="00CB5B0B" w:rsidRDefault="00CB5B0B" w:rsidP="00185591">
      <w:pPr>
        <w:tabs>
          <w:tab w:val="left" w:leader="underscore" w:pos="9639"/>
        </w:tabs>
        <w:spacing w:after="0" w:line="240" w:lineRule="auto"/>
        <w:jc w:val="both"/>
        <w:rPr>
          <w:rFonts w:cs="Calibri"/>
          <w:b/>
        </w:rPr>
      </w:pPr>
    </w:p>
    <w:p w14:paraId="7D187B5B" w14:textId="1A5347AF" w:rsidR="00F16E7A" w:rsidRDefault="00F16E7A" w:rsidP="00185591">
      <w:pPr>
        <w:tabs>
          <w:tab w:val="left" w:leader="underscore" w:pos="9639"/>
        </w:tabs>
        <w:spacing w:after="0" w:line="240" w:lineRule="auto"/>
        <w:jc w:val="both"/>
        <w:rPr>
          <w:rFonts w:cs="Calibri"/>
          <w:b/>
        </w:rPr>
      </w:pPr>
    </w:p>
    <w:p w14:paraId="07F1BF52" w14:textId="77777777" w:rsidR="00F16E7A" w:rsidRDefault="00F16E7A" w:rsidP="00185591">
      <w:pPr>
        <w:tabs>
          <w:tab w:val="left" w:leader="underscore" w:pos="9639"/>
        </w:tabs>
        <w:spacing w:after="0" w:line="240" w:lineRule="auto"/>
        <w:jc w:val="both"/>
        <w:rPr>
          <w:rFonts w:cs="Calibri"/>
          <w:b/>
        </w:rPr>
      </w:pPr>
    </w:p>
    <w:p w14:paraId="4AB5303F" w14:textId="1ABDFB65"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Pr="00657009">
        <w:rPr>
          <w:rFonts w:cs="Calibri"/>
        </w:rPr>
        <w:t>fideicomisario</w:t>
      </w:r>
      <w:r w:rsidRPr="00E74967">
        <w:rPr>
          <w:rFonts w:cs="Calibri"/>
        </w:rPr>
        <w:t>.</w:t>
      </w:r>
    </w:p>
    <w:p w14:paraId="2408B40F" w14:textId="37AA27B8"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ED5AAA5" w14:textId="1CDB9BB6" w:rsidR="00185591" w:rsidRPr="00E74967" w:rsidRDefault="00185591" w:rsidP="00185591">
      <w:pPr>
        <w:tabs>
          <w:tab w:val="left" w:leader="underscore" w:pos="9639"/>
        </w:tabs>
        <w:spacing w:after="0" w:line="240" w:lineRule="auto"/>
        <w:jc w:val="both"/>
        <w:rPr>
          <w:rFonts w:cs="Calibri"/>
        </w:rPr>
      </w:pPr>
    </w:p>
    <w:p w14:paraId="56004F30" w14:textId="173B8593" w:rsidR="00185591" w:rsidRPr="000C3365" w:rsidRDefault="00185591" w:rsidP="00185591">
      <w:pPr>
        <w:pStyle w:val="Ttulo2"/>
        <w:rPr>
          <w:rFonts w:asciiTheme="minorHAnsi" w:hAnsiTheme="minorHAnsi" w:cstheme="minorHAnsi"/>
          <w:b/>
          <w:color w:val="auto"/>
          <w:sz w:val="22"/>
        </w:rPr>
      </w:pPr>
      <w:bookmarkStart w:id="8" w:name="_Toc526939481"/>
      <w:bookmarkStart w:id="9" w:name="_Toc526939559"/>
      <w:r w:rsidRPr="000C3365">
        <w:rPr>
          <w:rFonts w:asciiTheme="minorHAnsi" w:hAnsiTheme="minorHAnsi" w:cstheme="minorHAnsi"/>
          <w:b/>
          <w:color w:val="auto"/>
          <w:sz w:val="22"/>
        </w:rPr>
        <w:t>5. Bases de Preparación de los Estados Financieros:</w:t>
      </w:r>
      <w:bookmarkEnd w:id="8"/>
      <w:bookmarkEnd w:id="9"/>
    </w:p>
    <w:p w14:paraId="64EAB6B5" w14:textId="4C36D618"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021CC214" w14:textId="77777777" w:rsidR="00F16E7A" w:rsidRDefault="00F16E7A" w:rsidP="00185591">
      <w:pPr>
        <w:tabs>
          <w:tab w:val="left" w:leader="underscore" w:pos="9639"/>
        </w:tabs>
        <w:spacing w:after="0" w:line="240" w:lineRule="auto"/>
        <w:jc w:val="both"/>
        <w:rPr>
          <w:rFonts w:cs="Calibri"/>
          <w:b/>
        </w:rPr>
      </w:pPr>
    </w:p>
    <w:p w14:paraId="38CF96AA" w14:textId="7AEA1B0D"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Si se ha observado la normatividad emitida por el CONAC y las disposiciones legales aplicables.</w:t>
      </w:r>
    </w:p>
    <w:p w14:paraId="604DF446" w14:textId="77777777" w:rsidR="00F16E7A" w:rsidRDefault="00185591" w:rsidP="00F16E7A">
      <w:pPr>
        <w:spacing w:after="0"/>
        <w:rPr>
          <w:rFonts w:cs="Calibri"/>
        </w:rPr>
      </w:pPr>
      <w:r w:rsidRPr="00E9155E">
        <w:rPr>
          <w:rFonts w:cs="Calibri"/>
        </w:rPr>
        <w:t>Las Bases de Preparación de los Estados Financieros observan en cierta medida la normatividad emitida por el CONAC y las disposiciones legales aplicables</w:t>
      </w:r>
    </w:p>
    <w:p w14:paraId="6D733F64" w14:textId="0E9E0C63" w:rsidR="00185591" w:rsidRPr="00E74967" w:rsidRDefault="00185591" w:rsidP="00F16E7A">
      <w:pPr>
        <w:spacing w:after="0"/>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953DB2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789F743"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52DF736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Las Bases de Preparación de los Estados Financieros aplican los Postulados Básicos de Registro Contable, el devengo del ingreso, entre otros, aún se encuentra en fase de desarrollo de los diferentes rubros de la información financiera</w:t>
      </w:r>
    </w:p>
    <w:p w14:paraId="189DEDD9" w14:textId="50447CFD"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w:t>
      </w:r>
    </w:p>
    <w:p w14:paraId="7DBA511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891797C" w14:textId="737C8269"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w:t>
      </w:r>
      <w:r w:rsidR="00332D18">
        <w:rPr>
          <w:rFonts w:cs="Calibri"/>
        </w:rPr>
        <w:t xml:space="preserve"> implementando </w:t>
      </w:r>
      <w:r w:rsidR="00CB5B0B">
        <w:rPr>
          <w:rFonts w:cs="Calibri"/>
        </w:rPr>
        <w:t>la base devengada</w:t>
      </w:r>
      <w:r w:rsidRPr="00E74967">
        <w:rPr>
          <w:rFonts w:cs="Calibri"/>
        </w:rPr>
        <w:t xml:space="preserve"> de acuerdo a la Ley de Contabilidad, deberán:</w:t>
      </w:r>
    </w:p>
    <w:p w14:paraId="01A13085" w14:textId="58754F46" w:rsidR="00185591" w:rsidRPr="00332D18" w:rsidRDefault="00185591" w:rsidP="00332D18">
      <w:pPr>
        <w:pStyle w:val="Prrafodelista"/>
        <w:numPr>
          <w:ilvl w:val="0"/>
          <w:numId w:val="2"/>
        </w:numPr>
        <w:tabs>
          <w:tab w:val="left" w:leader="underscore" w:pos="9639"/>
        </w:tabs>
        <w:spacing w:after="0" w:line="240" w:lineRule="auto"/>
        <w:jc w:val="both"/>
        <w:rPr>
          <w:rFonts w:cs="Calibri"/>
        </w:rPr>
      </w:pPr>
      <w:r w:rsidRPr="00332D18">
        <w:rPr>
          <w:rFonts w:cs="Calibri"/>
        </w:rPr>
        <w:t>Revelar las nuevas políticas de reconocimiento:</w:t>
      </w:r>
    </w:p>
    <w:p w14:paraId="1FCF1012" w14:textId="492B0A23" w:rsidR="00185591" w:rsidRPr="00332D18" w:rsidRDefault="00185591" w:rsidP="00332D18">
      <w:pPr>
        <w:pStyle w:val="Prrafodelista"/>
        <w:numPr>
          <w:ilvl w:val="0"/>
          <w:numId w:val="2"/>
        </w:numPr>
        <w:tabs>
          <w:tab w:val="left" w:leader="underscore" w:pos="9639"/>
        </w:tabs>
        <w:spacing w:after="0" w:line="240" w:lineRule="auto"/>
        <w:jc w:val="both"/>
        <w:rPr>
          <w:rFonts w:cs="Calibri"/>
        </w:rPr>
      </w:pPr>
      <w:r w:rsidRPr="00332D18">
        <w:rPr>
          <w:rFonts w:cs="Calibri"/>
        </w:rPr>
        <w:t>Plan de implementación:</w:t>
      </w:r>
    </w:p>
    <w:p w14:paraId="735D39CE" w14:textId="77777777" w:rsidR="00332D18" w:rsidRDefault="00185591" w:rsidP="00185591">
      <w:pPr>
        <w:pStyle w:val="Prrafodelista"/>
        <w:numPr>
          <w:ilvl w:val="0"/>
          <w:numId w:val="2"/>
        </w:numPr>
        <w:tabs>
          <w:tab w:val="left" w:leader="underscore" w:pos="9639"/>
        </w:tabs>
        <w:spacing w:after="0" w:line="240" w:lineRule="auto"/>
        <w:jc w:val="both"/>
        <w:rPr>
          <w:rFonts w:cs="Calibri"/>
        </w:rPr>
      </w:pPr>
      <w:r w:rsidRPr="00332D18">
        <w:rPr>
          <w:rFonts w:cs="Calibri"/>
        </w:rPr>
        <w:t>Revelar los cambios en las políticas, la clasificación y medición de las mismas, así como su impacto en la información financiera:</w:t>
      </w:r>
    </w:p>
    <w:p w14:paraId="04ADEC48" w14:textId="2A46A60E" w:rsidR="00185591" w:rsidRPr="00332D18" w:rsidRDefault="00185591" w:rsidP="00332D18">
      <w:pPr>
        <w:pStyle w:val="Prrafodelista"/>
        <w:tabs>
          <w:tab w:val="left" w:leader="underscore" w:pos="9639"/>
        </w:tabs>
        <w:spacing w:after="0" w:line="240" w:lineRule="auto"/>
        <w:ind w:left="360"/>
        <w:jc w:val="both"/>
        <w:rPr>
          <w:rFonts w:cs="Calibri"/>
        </w:rPr>
      </w:pPr>
      <w:r w:rsidRPr="00332D18">
        <w:rPr>
          <w:rFonts w:cs="Calibri"/>
        </w:rPr>
        <w:t>Firmar los EEFF de los Organismos Descentralizados solicitados por el CONAC publicados en el DOF y PO</w:t>
      </w:r>
    </w:p>
    <w:p w14:paraId="1F4E3404" w14:textId="0AC1F88C" w:rsidR="00185591" w:rsidRDefault="00185591" w:rsidP="00185591">
      <w:pPr>
        <w:tabs>
          <w:tab w:val="left" w:leader="underscore" w:pos="9639"/>
        </w:tabs>
        <w:spacing w:after="0" w:line="240" w:lineRule="auto"/>
        <w:jc w:val="both"/>
        <w:rPr>
          <w:rFonts w:cs="Calibri"/>
        </w:rPr>
      </w:pPr>
    </w:p>
    <w:p w14:paraId="162E373A" w14:textId="77777777" w:rsidR="00185591" w:rsidRPr="00E74967" w:rsidRDefault="00185591" w:rsidP="00185591">
      <w:pPr>
        <w:pStyle w:val="Ttulo2"/>
        <w:rPr>
          <w:rFonts w:cs="Calibri"/>
          <w:b/>
        </w:rPr>
      </w:pPr>
      <w:bookmarkStart w:id="10" w:name="_Toc526939482"/>
      <w:bookmarkStart w:id="11" w:name="_Toc526939560"/>
      <w:r w:rsidRPr="000C3365">
        <w:rPr>
          <w:rFonts w:asciiTheme="minorHAnsi" w:hAnsiTheme="minorHAnsi" w:cstheme="minorHAnsi"/>
          <w:b/>
          <w:color w:val="auto"/>
          <w:sz w:val="22"/>
        </w:rPr>
        <w:t>6. Políticas de Contabilidad Significativas:</w:t>
      </w:r>
      <w:bookmarkEnd w:id="10"/>
      <w:bookmarkEnd w:id="11"/>
    </w:p>
    <w:p w14:paraId="30E56C8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6C827147" w14:textId="46DDA54C"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w:t>
      </w:r>
    </w:p>
    <w:p w14:paraId="6340ADF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48F1C5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113ECA5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533783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2296BDE1"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54401C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2D061BF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9CA0985" w14:textId="0A4075B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00332D18">
        <w:rPr>
          <w:rFonts w:cs="Calibri"/>
        </w:rPr>
        <w:t xml:space="preserve"> Beneficios a empleados</w:t>
      </w:r>
      <w:r w:rsidRPr="00E74967">
        <w:rPr>
          <w:rFonts w:cs="Calibri"/>
        </w:rPr>
        <w:t>:</w:t>
      </w:r>
    </w:p>
    <w:p w14:paraId="06DC210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E0D064E" w14:textId="63E19DBA"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f)</w:t>
      </w:r>
      <w:r w:rsidRPr="00E74967">
        <w:rPr>
          <w:rFonts w:cs="Calibri"/>
        </w:rPr>
        <w:t xml:space="preserve"> Provisiones: </w:t>
      </w:r>
    </w:p>
    <w:p w14:paraId="04B7C31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E8A23FA" w14:textId="718650DA"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w:t>
      </w:r>
    </w:p>
    <w:p w14:paraId="0492EA8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D056E1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045D8B07" w14:textId="25D957D3" w:rsidR="00185591" w:rsidRPr="00E9155E" w:rsidRDefault="00185591" w:rsidP="00185591">
      <w:pPr>
        <w:tabs>
          <w:tab w:val="left" w:leader="underscore" w:pos="9639"/>
        </w:tabs>
        <w:spacing w:after="0" w:line="240" w:lineRule="auto"/>
        <w:jc w:val="both"/>
        <w:rPr>
          <w:rFonts w:cs="Calibri"/>
        </w:rPr>
      </w:pPr>
      <w:r w:rsidRPr="00E9155E">
        <w:rPr>
          <w:rFonts w:cs="Calibri"/>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r w:rsidR="00332D18">
        <w:rPr>
          <w:rFonts w:cs="Calibri"/>
        </w:rPr>
        <w:t>.</w:t>
      </w:r>
    </w:p>
    <w:p w14:paraId="2D975DBA" w14:textId="3984CB59" w:rsidR="00185591" w:rsidRPr="00E74967" w:rsidRDefault="00185591" w:rsidP="00185591">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w:t>
      </w:r>
    </w:p>
    <w:p w14:paraId="22F3858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F31D5B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35E0F83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2A03ADE" w14:textId="77777777" w:rsidR="00185591" w:rsidRPr="00E74967" w:rsidRDefault="00185591" w:rsidP="00185591">
      <w:pPr>
        <w:tabs>
          <w:tab w:val="left" w:leader="underscore" w:pos="9639"/>
        </w:tabs>
        <w:spacing w:after="0" w:line="240" w:lineRule="auto"/>
        <w:jc w:val="both"/>
        <w:rPr>
          <w:rFonts w:cs="Calibri"/>
        </w:rPr>
      </w:pPr>
    </w:p>
    <w:p w14:paraId="27FF100C" w14:textId="77777777" w:rsidR="00185591" w:rsidRPr="000C3365" w:rsidRDefault="00185591" w:rsidP="00185591">
      <w:pPr>
        <w:pStyle w:val="Ttulo2"/>
        <w:rPr>
          <w:rFonts w:asciiTheme="minorHAnsi" w:hAnsiTheme="minorHAnsi" w:cstheme="minorHAnsi"/>
          <w:b/>
          <w:color w:val="auto"/>
          <w:sz w:val="22"/>
        </w:rPr>
      </w:pPr>
      <w:bookmarkStart w:id="12" w:name="_Toc526939483"/>
      <w:bookmarkStart w:id="13" w:name="_Toc526939561"/>
      <w:r w:rsidRPr="000C3365">
        <w:rPr>
          <w:rFonts w:asciiTheme="minorHAnsi" w:hAnsiTheme="minorHAnsi" w:cstheme="minorHAnsi"/>
          <w:b/>
          <w:color w:val="auto"/>
          <w:sz w:val="22"/>
        </w:rPr>
        <w:t>7. Posición en Moneda Extranjera y Protección por Riesgo Cambiario:</w:t>
      </w:r>
      <w:bookmarkEnd w:id="12"/>
      <w:bookmarkEnd w:id="13"/>
    </w:p>
    <w:p w14:paraId="3D27CD5D"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4440E8F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09367A3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FD23EF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2FC60C9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6B3497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3715820A"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09BECC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68D7EE2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C4667F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240F4F0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8FDE41A"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3F24A7F7"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Adicionalmente se informará sobre los métodos de protección de riesgo por variaciones en el tipo de cambio.</w:t>
      </w:r>
    </w:p>
    <w:p w14:paraId="1EAD1FE3" w14:textId="77777777" w:rsidR="00185591" w:rsidRPr="00E74967" w:rsidRDefault="00185591" w:rsidP="00185591">
      <w:pPr>
        <w:tabs>
          <w:tab w:val="left" w:leader="underscore" w:pos="9639"/>
        </w:tabs>
        <w:spacing w:after="0" w:line="240" w:lineRule="auto"/>
        <w:jc w:val="both"/>
        <w:rPr>
          <w:rFonts w:cs="Calibri"/>
        </w:rPr>
      </w:pPr>
    </w:p>
    <w:p w14:paraId="72AD0607" w14:textId="77777777" w:rsidR="00185591" w:rsidRPr="000C3365" w:rsidRDefault="00185591" w:rsidP="00185591">
      <w:pPr>
        <w:pStyle w:val="Ttulo2"/>
        <w:rPr>
          <w:rFonts w:asciiTheme="minorHAnsi" w:hAnsiTheme="minorHAnsi" w:cstheme="minorHAnsi"/>
          <w:b/>
          <w:color w:val="auto"/>
          <w:sz w:val="22"/>
        </w:rPr>
      </w:pPr>
      <w:bookmarkStart w:id="14" w:name="_Toc526939484"/>
      <w:bookmarkStart w:id="15" w:name="_Toc526939562"/>
      <w:r w:rsidRPr="000C3365">
        <w:rPr>
          <w:rFonts w:asciiTheme="minorHAnsi" w:hAnsiTheme="minorHAnsi" w:cstheme="minorHAnsi"/>
          <w:b/>
          <w:color w:val="auto"/>
          <w:sz w:val="22"/>
        </w:rPr>
        <w:t>8. Reporte Analítico del Activo:</w:t>
      </w:r>
      <w:bookmarkEnd w:id="14"/>
      <w:bookmarkEnd w:id="15"/>
    </w:p>
    <w:p w14:paraId="446DB911"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Debe mostrar la siguiente información:</w:t>
      </w:r>
    </w:p>
    <w:p w14:paraId="78B05AB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2094FA92"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19157D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b)</w:t>
      </w:r>
      <w:r w:rsidRPr="00E74967">
        <w:rPr>
          <w:rFonts w:cs="Calibri"/>
        </w:rPr>
        <w:t xml:space="preserve"> Cambios en el porcentaje de depreciación o valor residual de los activos:</w:t>
      </w:r>
    </w:p>
    <w:p w14:paraId="2FE3F52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De conformidad con la norma de CONAC y los alcances del SIHP, actualmente sólo pueden considerarse las 40 clases de activos vigentes.</w:t>
      </w:r>
    </w:p>
    <w:p w14:paraId="09FABF7C"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7390AFCA"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5B4BAE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Riesgos por tipo de cambio o tipo de interés de las inversiones financieras:</w:t>
      </w:r>
    </w:p>
    <w:p w14:paraId="017400A6"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5665DE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532E53F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82EE79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1A77C82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2E153F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395EF28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C9B250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66E84C9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F49D26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cuadros comparativos como sigue:</w:t>
      </w:r>
    </w:p>
    <w:p w14:paraId="3544FE84"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32E4DB5B"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07BC06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169158E9"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A2A3D7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0185016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1E9D0A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31F67F5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6D9A32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2655702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6BD5A18" w14:textId="77777777" w:rsidR="00185591" w:rsidRDefault="00185591" w:rsidP="00185591">
      <w:pPr>
        <w:tabs>
          <w:tab w:val="left" w:leader="underscore" w:pos="9639"/>
        </w:tabs>
        <w:spacing w:after="0" w:line="240" w:lineRule="auto"/>
        <w:jc w:val="both"/>
        <w:rPr>
          <w:rFonts w:cs="Calibri"/>
        </w:rPr>
      </w:pPr>
    </w:p>
    <w:p w14:paraId="47109F13" w14:textId="77777777" w:rsidR="00185591" w:rsidRPr="000C3365" w:rsidRDefault="00185591" w:rsidP="00185591">
      <w:pPr>
        <w:pStyle w:val="Ttulo2"/>
        <w:rPr>
          <w:rFonts w:asciiTheme="minorHAnsi" w:hAnsiTheme="minorHAnsi" w:cstheme="minorHAnsi"/>
          <w:b/>
          <w:color w:val="auto"/>
          <w:sz w:val="22"/>
        </w:rPr>
      </w:pPr>
      <w:bookmarkStart w:id="16" w:name="_Toc526939485"/>
      <w:bookmarkStart w:id="17" w:name="_Toc526939563"/>
      <w:r w:rsidRPr="000C3365">
        <w:rPr>
          <w:rFonts w:asciiTheme="minorHAnsi" w:hAnsiTheme="minorHAnsi" w:cstheme="minorHAnsi"/>
          <w:b/>
          <w:color w:val="auto"/>
          <w:sz w:val="22"/>
        </w:rPr>
        <w:t>9. Fideicomisos, Mandatos y Análogos:</w:t>
      </w:r>
      <w:bookmarkEnd w:id="16"/>
      <w:bookmarkEnd w:id="17"/>
    </w:p>
    <w:p w14:paraId="784579D8"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deberá informar:</w:t>
      </w:r>
    </w:p>
    <w:p w14:paraId="3768345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33ADD99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31286C0"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68C843E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5E29C35" w14:textId="77777777" w:rsidR="00185591" w:rsidRPr="00E74967" w:rsidRDefault="00185591" w:rsidP="00185591">
      <w:pPr>
        <w:tabs>
          <w:tab w:val="left" w:leader="underscore" w:pos="9639"/>
        </w:tabs>
        <w:spacing w:after="0" w:line="240" w:lineRule="auto"/>
        <w:jc w:val="both"/>
        <w:rPr>
          <w:rFonts w:cs="Calibri"/>
        </w:rPr>
      </w:pPr>
    </w:p>
    <w:p w14:paraId="418F9789" w14:textId="77777777" w:rsidR="00185591" w:rsidRPr="000C3365" w:rsidRDefault="00185591" w:rsidP="00185591">
      <w:pPr>
        <w:pStyle w:val="Ttulo2"/>
        <w:rPr>
          <w:rFonts w:asciiTheme="minorHAnsi" w:hAnsiTheme="minorHAnsi" w:cstheme="minorHAnsi"/>
          <w:b/>
          <w:color w:val="auto"/>
          <w:sz w:val="22"/>
        </w:rPr>
      </w:pPr>
      <w:bookmarkStart w:id="18" w:name="_Toc526939486"/>
      <w:bookmarkStart w:id="19" w:name="_Toc526939564"/>
      <w:r w:rsidRPr="000C3365">
        <w:rPr>
          <w:rFonts w:asciiTheme="minorHAnsi" w:hAnsiTheme="minorHAnsi" w:cstheme="minorHAnsi"/>
          <w:b/>
          <w:color w:val="auto"/>
          <w:sz w:val="22"/>
        </w:rPr>
        <w:lastRenderedPageBreak/>
        <w:t>10. Reporte de la Recaudación:</w:t>
      </w:r>
      <w:bookmarkEnd w:id="18"/>
      <w:bookmarkEnd w:id="19"/>
    </w:p>
    <w:p w14:paraId="1266E161"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0FE0F6D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9EA00B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512A2C7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9F8D614" w14:textId="77777777" w:rsidR="00185591" w:rsidRPr="00E74967" w:rsidRDefault="00185591" w:rsidP="00185591">
      <w:pPr>
        <w:tabs>
          <w:tab w:val="left" w:leader="underscore" w:pos="9639"/>
        </w:tabs>
        <w:spacing w:after="0" w:line="240" w:lineRule="auto"/>
        <w:jc w:val="both"/>
        <w:rPr>
          <w:rFonts w:cs="Calibri"/>
        </w:rPr>
      </w:pPr>
    </w:p>
    <w:p w14:paraId="3A3998FB" w14:textId="77777777" w:rsidR="00185591" w:rsidRPr="000C3365" w:rsidRDefault="00185591" w:rsidP="00185591">
      <w:pPr>
        <w:pStyle w:val="Ttulo2"/>
        <w:rPr>
          <w:rFonts w:asciiTheme="minorHAnsi" w:hAnsiTheme="minorHAnsi" w:cstheme="minorHAnsi"/>
          <w:b/>
          <w:color w:val="auto"/>
          <w:sz w:val="22"/>
        </w:rPr>
      </w:pPr>
      <w:bookmarkStart w:id="20" w:name="_Toc526939487"/>
      <w:bookmarkStart w:id="21" w:name="_Toc526939565"/>
      <w:r w:rsidRPr="000C3365">
        <w:rPr>
          <w:rFonts w:asciiTheme="minorHAnsi" w:hAnsiTheme="minorHAnsi" w:cstheme="minorHAnsi"/>
          <w:b/>
          <w:color w:val="auto"/>
          <w:sz w:val="22"/>
        </w:rPr>
        <w:t>11. Información sobre la Deuda y el Reporte Analítico de la Deuda:</w:t>
      </w:r>
      <w:bookmarkEnd w:id="20"/>
      <w:bookmarkEnd w:id="21"/>
    </w:p>
    <w:p w14:paraId="1AA0775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14:paraId="73B990F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consideren intereses, comisiones, tasa, perfil de vencimiento y otros gastos de la deuda.</w:t>
      </w:r>
    </w:p>
    <w:p w14:paraId="30FB35AA"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 Se anexará la información en las notas de desglose.</w:t>
      </w:r>
    </w:p>
    <w:p w14:paraId="30467DD2" w14:textId="77777777" w:rsidR="00185591" w:rsidRPr="00B317E0" w:rsidRDefault="00185591" w:rsidP="00185591">
      <w:pPr>
        <w:tabs>
          <w:tab w:val="left" w:leader="underscore" w:pos="9639"/>
        </w:tabs>
        <w:spacing w:after="0" w:line="240" w:lineRule="auto"/>
        <w:jc w:val="both"/>
        <w:rPr>
          <w:rFonts w:cs="Calibri"/>
          <w:sz w:val="16"/>
          <w:szCs w:val="16"/>
        </w:rPr>
      </w:pPr>
    </w:p>
    <w:p w14:paraId="1B55AA92" w14:textId="77777777" w:rsidR="00185591" w:rsidRPr="000C3365" w:rsidRDefault="00185591" w:rsidP="00185591">
      <w:pPr>
        <w:pStyle w:val="Ttulo2"/>
        <w:rPr>
          <w:rFonts w:asciiTheme="minorHAnsi" w:hAnsiTheme="minorHAnsi" w:cstheme="minorHAnsi"/>
          <w:b/>
          <w:color w:val="auto"/>
          <w:sz w:val="22"/>
        </w:rPr>
      </w:pPr>
      <w:bookmarkStart w:id="22" w:name="_Toc526939488"/>
      <w:bookmarkStart w:id="23" w:name="_Toc526939566"/>
      <w:r w:rsidRPr="000C3365">
        <w:rPr>
          <w:rFonts w:asciiTheme="minorHAnsi" w:hAnsiTheme="minorHAnsi" w:cstheme="minorHAnsi"/>
          <w:b/>
          <w:color w:val="auto"/>
          <w:sz w:val="22"/>
        </w:rPr>
        <w:t>12. Calificaciones otorgadas:</w:t>
      </w:r>
      <w:bookmarkEnd w:id="22"/>
      <w:bookmarkEnd w:id="23"/>
    </w:p>
    <w:p w14:paraId="27216CF3"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485D6E6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3626F17" w14:textId="2FE47C04" w:rsidR="00185591" w:rsidRDefault="00185591" w:rsidP="00185591">
      <w:pPr>
        <w:tabs>
          <w:tab w:val="left" w:leader="underscore" w:pos="9639"/>
        </w:tabs>
        <w:spacing w:after="0" w:line="240" w:lineRule="auto"/>
        <w:jc w:val="both"/>
        <w:rPr>
          <w:rFonts w:cs="Calibri"/>
        </w:rPr>
      </w:pPr>
    </w:p>
    <w:p w14:paraId="324CAC3C" w14:textId="77777777" w:rsidR="00185591" w:rsidRPr="000C3365" w:rsidRDefault="00185591" w:rsidP="00185591">
      <w:pPr>
        <w:pStyle w:val="Ttulo2"/>
        <w:rPr>
          <w:rFonts w:asciiTheme="minorHAnsi" w:hAnsiTheme="minorHAnsi" w:cstheme="minorHAnsi"/>
          <w:b/>
          <w:color w:val="auto"/>
          <w:sz w:val="22"/>
        </w:rPr>
      </w:pPr>
      <w:bookmarkStart w:id="24" w:name="_Toc526939489"/>
      <w:bookmarkStart w:id="25" w:name="_Toc526939567"/>
      <w:r w:rsidRPr="000C3365">
        <w:rPr>
          <w:rFonts w:asciiTheme="minorHAnsi" w:hAnsiTheme="minorHAnsi" w:cstheme="minorHAnsi"/>
          <w:b/>
          <w:color w:val="auto"/>
          <w:sz w:val="22"/>
        </w:rPr>
        <w:t>13. Proceso de Mejora:</w:t>
      </w:r>
      <w:bookmarkEnd w:id="24"/>
      <w:bookmarkEnd w:id="25"/>
    </w:p>
    <w:p w14:paraId="19AF6E1C"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de:</w:t>
      </w:r>
    </w:p>
    <w:p w14:paraId="3581C6B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4EB1881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D479D0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2F5F93E5"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0B9922F" w14:textId="77777777" w:rsidR="00185591" w:rsidRPr="00E74967" w:rsidRDefault="00185591" w:rsidP="00185591">
      <w:pPr>
        <w:tabs>
          <w:tab w:val="left" w:leader="underscore" w:pos="9639"/>
        </w:tabs>
        <w:spacing w:after="0" w:line="240" w:lineRule="auto"/>
        <w:jc w:val="both"/>
        <w:rPr>
          <w:rFonts w:cs="Calibri"/>
        </w:rPr>
      </w:pPr>
    </w:p>
    <w:p w14:paraId="6A29CE51" w14:textId="77777777" w:rsidR="00185591" w:rsidRPr="000C3365" w:rsidRDefault="00185591" w:rsidP="00185591">
      <w:pPr>
        <w:pStyle w:val="Ttulo2"/>
        <w:rPr>
          <w:rFonts w:asciiTheme="minorHAnsi" w:hAnsiTheme="minorHAnsi" w:cstheme="minorHAnsi"/>
          <w:b/>
          <w:color w:val="auto"/>
          <w:sz w:val="22"/>
        </w:rPr>
      </w:pPr>
      <w:bookmarkStart w:id="26" w:name="_Toc526939490"/>
      <w:bookmarkStart w:id="27" w:name="_Toc526939568"/>
      <w:r w:rsidRPr="000C3365">
        <w:rPr>
          <w:rFonts w:asciiTheme="minorHAnsi" w:hAnsiTheme="minorHAnsi" w:cstheme="minorHAnsi"/>
          <w:b/>
          <w:color w:val="auto"/>
          <w:sz w:val="22"/>
        </w:rPr>
        <w:t>14. Información por Segmentos:</w:t>
      </w:r>
      <w:bookmarkEnd w:id="26"/>
      <w:bookmarkEnd w:id="27"/>
    </w:p>
    <w:p w14:paraId="171401A1"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2B7D580"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crecimiento potencial de negocio.</w:t>
      </w:r>
    </w:p>
    <w:p w14:paraId="31863A6F" w14:textId="77777777" w:rsidR="00185591" w:rsidRPr="00E74967" w:rsidRDefault="00185591" w:rsidP="00185591">
      <w:pPr>
        <w:tabs>
          <w:tab w:val="left" w:leader="underscore" w:pos="9639"/>
        </w:tabs>
        <w:spacing w:after="0" w:line="240" w:lineRule="auto"/>
        <w:jc w:val="both"/>
        <w:rPr>
          <w:rFonts w:cs="Calibri"/>
        </w:rPr>
      </w:pPr>
    </w:p>
    <w:p w14:paraId="057C913D" w14:textId="77777777" w:rsidR="00185591" w:rsidRPr="000C3365" w:rsidRDefault="00185591" w:rsidP="00185591">
      <w:pPr>
        <w:pStyle w:val="Ttulo2"/>
        <w:rPr>
          <w:rFonts w:asciiTheme="minorHAnsi" w:hAnsiTheme="minorHAnsi" w:cstheme="minorHAnsi"/>
          <w:b/>
          <w:color w:val="auto"/>
          <w:sz w:val="22"/>
        </w:rPr>
      </w:pPr>
      <w:bookmarkStart w:id="28" w:name="_Toc526939491"/>
      <w:bookmarkStart w:id="29" w:name="_Toc526939569"/>
      <w:r w:rsidRPr="000C3365">
        <w:rPr>
          <w:rFonts w:asciiTheme="minorHAnsi" w:hAnsiTheme="minorHAnsi" w:cstheme="minorHAnsi"/>
          <w:b/>
          <w:color w:val="auto"/>
          <w:sz w:val="22"/>
        </w:rPr>
        <w:lastRenderedPageBreak/>
        <w:t>15. Eventos Posteriores al Cierre:</w:t>
      </w:r>
      <w:bookmarkEnd w:id="28"/>
      <w:bookmarkEnd w:id="29"/>
    </w:p>
    <w:p w14:paraId="2632235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E74967">
        <w:rPr>
          <w:rFonts w:cs="Calibri"/>
        </w:rPr>
        <w:cr/>
      </w:r>
    </w:p>
    <w:p w14:paraId="6C83AABB" w14:textId="77777777" w:rsidR="00185591" w:rsidRPr="000C3365" w:rsidRDefault="00185591" w:rsidP="00185591">
      <w:pPr>
        <w:pStyle w:val="Ttulo2"/>
        <w:rPr>
          <w:rFonts w:asciiTheme="minorHAnsi" w:hAnsiTheme="minorHAnsi" w:cstheme="minorHAnsi"/>
          <w:b/>
          <w:color w:val="auto"/>
          <w:sz w:val="22"/>
        </w:rPr>
      </w:pPr>
      <w:bookmarkStart w:id="30" w:name="_Toc526939492"/>
      <w:bookmarkStart w:id="31" w:name="_Toc526939570"/>
      <w:r w:rsidRPr="000C3365">
        <w:rPr>
          <w:rFonts w:asciiTheme="minorHAnsi" w:hAnsiTheme="minorHAnsi" w:cstheme="minorHAnsi"/>
          <w:b/>
          <w:color w:val="auto"/>
          <w:sz w:val="22"/>
        </w:rPr>
        <w:t>16. Partes Relacionadas:</w:t>
      </w:r>
      <w:bookmarkEnd w:id="30"/>
      <w:bookmarkEnd w:id="31"/>
    </w:p>
    <w:p w14:paraId="4CFF210D"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72A3D0A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1897EB4" w14:textId="77777777" w:rsidR="00185591" w:rsidRPr="00E74967" w:rsidRDefault="00185591" w:rsidP="00185591">
      <w:pPr>
        <w:tabs>
          <w:tab w:val="left" w:leader="underscore" w:pos="9639"/>
        </w:tabs>
        <w:spacing w:after="0" w:line="240" w:lineRule="auto"/>
        <w:jc w:val="both"/>
        <w:rPr>
          <w:rFonts w:cs="Calibri"/>
        </w:rPr>
      </w:pPr>
    </w:p>
    <w:p w14:paraId="62CE6A9F" w14:textId="77777777" w:rsidR="00185591" w:rsidRPr="00F46719" w:rsidRDefault="00185591" w:rsidP="00185591">
      <w:pPr>
        <w:pStyle w:val="Ttulo2"/>
        <w:rPr>
          <w:rFonts w:asciiTheme="minorHAnsi" w:hAnsiTheme="minorHAnsi" w:cstheme="minorHAnsi"/>
          <w:b/>
          <w:color w:val="auto"/>
          <w:sz w:val="22"/>
        </w:rPr>
      </w:pPr>
      <w:bookmarkStart w:id="32" w:name="_Toc526939493"/>
      <w:bookmarkStart w:id="33" w:name="_Toc526939571"/>
      <w:r w:rsidRPr="00F46719">
        <w:rPr>
          <w:rFonts w:asciiTheme="minorHAnsi" w:hAnsiTheme="minorHAnsi" w:cstheme="minorHAnsi"/>
          <w:b/>
          <w:color w:val="auto"/>
          <w:sz w:val="22"/>
        </w:rPr>
        <w:t>17. Responsabilidad Sobre la Presentación Razonable de la Información Contable:</w:t>
      </w:r>
      <w:bookmarkEnd w:id="32"/>
      <w:bookmarkEnd w:id="33"/>
    </w:p>
    <w:p w14:paraId="7C1B2334" w14:textId="77777777" w:rsidR="00185591" w:rsidRDefault="00185591" w:rsidP="00185591">
      <w:pPr>
        <w:tabs>
          <w:tab w:val="left" w:leader="underscore" w:pos="9639"/>
        </w:tabs>
        <w:spacing w:after="0" w:line="240" w:lineRule="auto"/>
        <w:jc w:val="both"/>
        <w:rPr>
          <w:rFonts w:cs="Calibri"/>
        </w:rPr>
      </w:pPr>
      <w:bookmarkStart w:id="34" w:name="_GoBack"/>
      <w:bookmarkEnd w:id="34"/>
      <w:r w:rsidRPr="001973A2">
        <w:rPr>
          <w:rFonts w:cs="Calibri"/>
        </w:rPr>
        <w:t xml:space="preserve">La Información Contable </w:t>
      </w:r>
      <w:r>
        <w:rPr>
          <w:rFonts w:cs="Calibri"/>
        </w:rPr>
        <w:t xml:space="preserve">está </w:t>
      </w:r>
      <w:r w:rsidRPr="001973A2">
        <w:rPr>
          <w:rFonts w:cs="Calibri"/>
        </w:rPr>
        <w:t>firmada en cada página de la misma</w:t>
      </w:r>
      <w:r>
        <w:rPr>
          <w:rFonts w:cs="Calibri"/>
        </w:rPr>
        <w:t xml:space="preserve"> y se </w:t>
      </w:r>
      <w:r w:rsidRPr="001973A2">
        <w:rPr>
          <w:rFonts w:cs="Calibri"/>
        </w:rPr>
        <w:t>inclu</w:t>
      </w:r>
      <w:r>
        <w:rPr>
          <w:rFonts w:cs="Calibri"/>
        </w:rPr>
        <w:t>ye</w:t>
      </w:r>
      <w:r w:rsidRPr="001973A2">
        <w:rPr>
          <w:rFonts w:cs="Calibri"/>
        </w:rPr>
        <w:t xml:space="preserve"> al final la siguiente leyenda: </w:t>
      </w:r>
    </w:p>
    <w:p w14:paraId="382273A2" w14:textId="77777777" w:rsidR="00185591" w:rsidRPr="00E74967" w:rsidRDefault="00185591" w:rsidP="00185591">
      <w:pPr>
        <w:tabs>
          <w:tab w:val="left" w:leader="underscore" w:pos="9639"/>
        </w:tabs>
        <w:spacing w:after="0" w:line="240" w:lineRule="auto"/>
        <w:jc w:val="both"/>
        <w:rPr>
          <w:rFonts w:cs="Calibri"/>
        </w:rPr>
      </w:pPr>
      <w:r w:rsidRPr="001973A2">
        <w:rPr>
          <w:rFonts w:cs="Calibri"/>
        </w:rPr>
        <w:t xml:space="preserve">“Bajo protesta de decir verdad declaramos que los Estados Financieros y sus notas, son razonablemente correctos y son responsabilidad del emisor”. Lo anterior, no </w:t>
      </w:r>
      <w:r>
        <w:rPr>
          <w:rFonts w:cs="Calibri"/>
        </w:rPr>
        <w:t>es</w:t>
      </w:r>
      <w:r w:rsidRPr="001973A2">
        <w:rPr>
          <w:rFonts w:cs="Calibri"/>
        </w:rPr>
        <w:t xml:space="preserve"> aplicable para la información contable consolidada.</w:t>
      </w:r>
    </w:p>
    <w:p w14:paraId="1CBADD81" w14:textId="77777777" w:rsidR="00185591" w:rsidRDefault="00185591" w:rsidP="00185591">
      <w:pPr>
        <w:pBdr>
          <w:bottom w:val="single" w:sz="12" w:space="1" w:color="auto"/>
        </w:pBdr>
        <w:tabs>
          <w:tab w:val="left" w:leader="underscore" w:pos="9639"/>
        </w:tabs>
        <w:spacing w:after="0" w:line="240" w:lineRule="auto"/>
        <w:jc w:val="both"/>
        <w:rPr>
          <w:rFonts w:cs="Calibri"/>
        </w:rPr>
      </w:pPr>
    </w:p>
    <w:p w14:paraId="47D05490" w14:textId="77777777" w:rsidR="00185591" w:rsidRDefault="00185591" w:rsidP="00185591">
      <w:pPr>
        <w:tabs>
          <w:tab w:val="left" w:leader="underscore" w:pos="9639"/>
        </w:tabs>
        <w:spacing w:after="0" w:line="240" w:lineRule="auto"/>
        <w:jc w:val="both"/>
        <w:rPr>
          <w:rFonts w:asciiTheme="minorHAnsi" w:hAnsiTheme="minorHAnsi" w:cstheme="minorHAnsi"/>
          <w:b/>
          <w:sz w:val="24"/>
          <w:szCs w:val="24"/>
        </w:rPr>
      </w:pPr>
    </w:p>
    <w:p w14:paraId="1E48E2B8" w14:textId="77777777" w:rsidR="00185591" w:rsidRPr="0012405A" w:rsidRDefault="00185591" w:rsidP="00185591">
      <w:pPr>
        <w:tabs>
          <w:tab w:val="left" w:leader="underscore" w:pos="9639"/>
        </w:tabs>
        <w:spacing w:after="0" w:line="240" w:lineRule="auto"/>
        <w:jc w:val="both"/>
        <w:rPr>
          <w:rFonts w:asciiTheme="minorHAnsi" w:hAnsiTheme="minorHAnsi" w:cstheme="minorHAnsi"/>
          <w:sz w:val="24"/>
          <w:szCs w:val="24"/>
        </w:rPr>
      </w:pPr>
      <w:r w:rsidRPr="0012405A">
        <w:rPr>
          <w:rFonts w:asciiTheme="minorHAnsi" w:hAnsiTheme="minorHAnsi" w:cstheme="minorHAnsi"/>
          <w:b/>
          <w:sz w:val="24"/>
          <w:szCs w:val="24"/>
        </w:rPr>
        <w:t xml:space="preserve">Nota </w:t>
      </w:r>
      <w:r>
        <w:rPr>
          <w:rFonts w:asciiTheme="minorHAnsi" w:hAnsiTheme="minorHAnsi" w:cstheme="minorHAnsi"/>
          <w:b/>
          <w:sz w:val="24"/>
          <w:szCs w:val="24"/>
        </w:rPr>
        <w:t>1</w:t>
      </w:r>
      <w:r w:rsidRPr="0012405A">
        <w:rPr>
          <w:rFonts w:asciiTheme="minorHAnsi" w:hAnsiTheme="minorHAnsi" w:cstheme="minorHAns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14:paraId="6D2E6E7A" w14:textId="541F1C72" w:rsidR="00185591" w:rsidRPr="0012405A" w:rsidRDefault="00185591" w:rsidP="00185591">
      <w:pPr>
        <w:pBdr>
          <w:bottom w:val="single" w:sz="12" w:space="1" w:color="auto"/>
        </w:pBdr>
        <w:tabs>
          <w:tab w:val="left" w:leader="underscore" w:pos="9639"/>
        </w:tabs>
        <w:spacing w:after="0" w:line="240" w:lineRule="auto"/>
        <w:jc w:val="both"/>
        <w:rPr>
          <w:rFonts w:cs="Calibri"/>
        </w:rPr>
      </w:pPr>
    </w:p>
    <w:p w14:paraId="7203E26E" w14:textId="77777777" w:rsidR="007D1E76" w:rsidRPr="00E74967" w:rsidRDefault="007D1E76" w:rsidP="00CB41C4">
      <w:pPr>
        <w:tabs>
          <w:tab w:val="left" w:leader="underscore" w:pos="9639"/>
        </w:tabs>
        <w:spacing w:after="0" w:line="240" w:lineRule="auto"/>
        <w:jc w:val="both"/>
        <w:rPr>
          <w:rFonts w:cs="Calibri"/>
        </w:rPr>
      </w:pPr>
    </w:p>
    <w:sectPr w:rsidR="007D1E76" w:rsidRPr="00E74967" w:rsidSect="00B317E0">
      <w:headerReference w:type="default" r:id="rId13"/>
      <w:footerReference w:type="default" r:id="rId14"/>
      <w:pgSz w:w="15840" w:h="12240" w:orient="landscape" w:code="1"/>
      <w:pgMar w:top="1418" w:right="1418"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22F6B" w14:textId="77777777" w:rsidR="00327157" w:rsidRDefault="00327157" w:rsidP="00E00323">
      <w:pPr>
        <w:spacing w:after="0" w:line="240" w:lineRule="auto"/>
      </w:pPr>
      <w:r>
        <w:separator/>
      </w:r>
    </w:p>
  </w:endnote>
  <w:endnote w:type="continuationSeparator" w:id="0">
    <w:p w14:paraId="46469F84" w14:textId="77777777" w:rsidR="00327157" w:rsidRDefault="00327157"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67310"/>
      <w:docPartObj>
        <w:docPartGallery w:val="Page Numbers (Bottom of Page)"/>
        <w:docPartUnique/>
      </w:docPartObj>
    </w:sdtPr>
    <w:sdtEndPr/>
    <w:sdtContent>
      <w:p w14:paraId="45A1378E" w14:textId="041142B1" w:rsidR="0012405A" w:rsidRDefault="0012405A">
        <w:pPr>
          <w:pStyle w:val="Piedepgina"/>
          <w:jc w:val="right"/>
        </w:pPr>
        <w:r>
          <w:fldChar w:fldCharType="begin"/>
        </w:r>
        <w:r>
          <w:instrText>PAGE   \* MERGEFORMAT</w:instrText>
        </w:r>
        <w:r>
          <w:fldChar w:fldCharType="separate"/>
        </w:r>
        <w:r w:rsidR="00F16E7A" w:rsidRPr="00F16E7A">
          <w:rPr>
            <w:noProof/>
            <w:lang w:val="es-ES"/>
          </w:rPr>
          <w:t>7</w:t>
        </w:r>
        <w:r>
          <w:fldChar w:fldCharType="end"/>
        </w:r>
      </w:p>
    </w:sdtContent>
  </w:sdt>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D97CF" w14:textId="77777777" w:rsidR="00327157" w:rsidRDefault="00327157" w:rsidP="00E00323">
      <w:pPr>
        <w:spacing w:after="0" w:line="240" w:lineRule="auto"/>
      </w:pPr>
      <w:r>
        <w:separator/>
      </w:r>
    </w:p>
  </w:footnote>
  <w:footnote w:type="continuationSeparator" w:id="0">
    <w:p w14:paraId="35D5E245" w14:textId="77777777" w:rsidR="00327157" w:rsidRDefault="00327157"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4C148" w14:textId="77777777" w:rsidR="00185591" w:rsidRDefault="00185591" w:rsidP="00185591">
    <w:pPr>
      <w:pStyle w:val="Encabezado"/>
      <w:spacing w:after="0" w:line="240" w:lineRule="auto"/>
      <w:jc w:val="center"/>
    </w:pPr>
    <w:r w:rsidRPr="00185591">
      <w:t>INSTITUTO DE ALFABETIZACIÓN Y EDUCACIÓN BASICA PARA ADULTOS DEL ESTADO DE GTO.</w:t>
    </w:r>
  </w:p>
  <w:p w14:paraId="651A4C4F" w14:textId="6260BE36" w:rsidR="00A4610E" w:rsidRDefault="00500ADA" w:rsidP="00A4610E">
    <w:pPr>
      <w:pStyle w:val="Encabezado"/>
      <w:spacing w:after="0" w:line="240" w:lineRule="auto"/>
      <w:jc w:val="center"/>
    </w:pPr>
    <w:r>
      <w:t>Del 01 de enero al 3</w:t>
    </w:r>
    <w:r w:rsidR="00AC1541">
      <w:t xml:space="preserve">0 </w:t>
    </w:r>
    <w:r w:rsidR="00CB5B0B">
      <w:t>de septiembre</w:t>
    </w:r>
    <w:r>
      <w:t xml:space="preserve"> de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B7810"/>
    <w:rsid w:val="000C3365"/>
    <w:rsid w:val="000E472D"/>
    <w:rsid w:val="0012405A"/>
    <w:rsid w:val="001533DF"/>
    <w:rsid w:val="00154BA3"/>
    <w:rsid w:val="00185591"/>
    <w:rsid w:val="001973A2"/>
    <w:rsid w:val="001C75F2"/>
    <w:rsid w:val="001D2063"/>
    <w:rsid w:val="001D43E9"/>
    <w:rsid w:val="00327157"/>
    <w:rsid w:val="00332D18"/>
    <w:rsid w:val="003453CA"/>
    <w:rsid w:val="00424624"/>
    <w:rsid w:val="00435A87"/>
    <w:rsid w:val="004A15DA"/>
    <w:rsid w:val="004A58C8"/>
    <w:rsid w:val="00500ADA"/>
    <w:rsid w:val="0054701E"/>
    <w:rsid w:val="005D3E43"/>
    <w:rsid w:val="005E231E"/>
    <w:rsid w:val="006059AB"/>
    <w:rsid w:val="00657009"/>
    <w:rsid w:val="00681C79"/>
    <w:rsid w:val="007610BC"/>
    <w:rsid w:val="007714AB"/>
    <w:rsid w:val="007D1E76"/>
    <w:rsid w:val="007D4484"/>
    <w:rsid w:val="0086459F"/>
    <w:rsid w:val="008C3BB8"/>
    <w:rsid w:val="008E076C"/>
    <w:rsid w:val="0092765C"/>
    <w:rsid w:val="00996E86"/>
    <w:rsid w:val="009A4D8E"/>
    <w:rsid w:val="00A4610E"/>
    <w:rsid w:val="00A730E0"/>
    <w:rsid w:val="00AA41E5"/>
    <w:rsid w:val="00AB722B"/>
    <w:rsid w:val="00AC1541"/>
    <w:rsid w:val="00AE1F6A"/>
    <w:rsid w:val="00B317E0"/>
    <w:rsid w:val="00B47798"/>
    <w:rsid w:val="00C97E1E"/>
    <w:rsid w:val="00CB41C4"/>
    <w:rsid w:val="00CB5B0B"/>
    <w:rsid w:val="00CF1316"/>
    <w:rsid w:val="00D05899"/>
    <w:rsid w:val="00D13C44"/>
    <w:rsid w:val="00D975B1"/>
    <w:rsid w:val="00E00323"/>
    <w:rsid w:val="00E74967"/>
    <w:rsid w:val="00EA37F5"/>
    <w:rsid w:val="00EA7915"/>
    <w:rsid w:val="00EB1169"/>
    <w:rsid w:val="00F16E7A"/>
    <w:rsid w:val="00F46719"/>
    <w:rsid w:val="00F54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B317E0"/>
    <w:pPr>
      <w:tabs>
        <w:tab w:val="right" w:leader="dot" w:pos="9678"/>
      </w:tabs>
      <w:spacing w:after="100"/>
      <w:ind w:left="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1CB6B5-52E5-49A6-9E33-5D52432E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1751</Words>
  <Characters>9634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11363</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Gomez</cp:lastModifiedBy>
  <cp:revision>3</cp:revision>
  <dcterms:created xsi:type="dcterms:W3CDTF">2019-10-23T19:40:00Z</dcterms:created>
  <dcterms:modified xsi:type="dcterms:W3CDTF">2019-10-23T19:44:00Z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