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4E5F20" w14:textId="781B9500" w:rsidR="00FE24BA" w:rsidRPr="00FE24BA" w:rsidRDefault="00FE24BA" w:rsidP="00DE4889">
      <w:pPr>
        <w:shd w:val="clear" w:color="auto" w:fill="BFBFBF" w:themeFill="background1" w:themeFillShade="BF"/>
        <w:tabs>
          <w:tab w:val="left" w:leader="underscore" w:pos="9639"/>
        </w:tabs>
        <w:spacing w:after="0"/>
        <w:jc w:val="center"/>
        <w:rPr>
          <w:rStyle w:val="Hipervnculo"/>
          <w:rFonts w:ascii="Arial" w:hAnsi="Arial" w:cs="Arial"/>
          <w:b/>
          <w:sz w:val="20"/>
          <w:szCs w:val="20"/>
          <w:u w:val="none"/>
        </w:rPr>
      </w:pPr>
      <w:r w:rsidRPr="00FE24BA">
        <w:rPr>
          <w:rStyle w:val="Hipervnculo"/>
          <w:rFonts w:ascii="Arial" w:hAnsi="Arial" w:cs="Arial"/>
          <w:b/>
          <w:color w:val="auto"/>
          <w:sz w:val="20"/>
          <w:szCs w:val="20"/>
          <w:u w:val="none"/>
        </w:rPr>
        <w:t>INSTITUTO DE ALFABETIZACIÓN Y EDUCACIÓN BASICA PARA ADULTOS DEL ESTADO DE GTO.</w:t>
      </w:r>
    </w:p>
    <w:p w14:paraId="507776DB" w14:textId="41123C2D" w:rsidR="007D1E76" w:rsidRDefault="00B43151" w:rsidP="00DE4889">
      <w:pPr>
        <w:shd w:val="clear" w:color="auto" w:fill="BFBFBF" w:themeFill="background1" w:themeFillShade="BF"/>
        <w:tabs>
          <w:tab w:val="left" w:leader="underscore" w:pos="9639"/>
        </w:tabs>
        <w:spacing w:after="0"/>
        <w:jc w:val="center"/>
        <w:rPr>
          <w:rStyle w:val="Hipervnculo"/>
          <w:rFonts w:ascii="Arial" w:hAnsi="Arial" w:cs="Arial"/>
          <w:b/>
          <w:color w:val="auto"/>
          <w:sz w:val="20"/>
          <w:szCs w:val="20"/>
          <w:u w:val="none"/>
        </w:rPr>
      </w:pPr>
      <w:hyperlink r:id="rId11" w:history="1">
        <w:r w:rsidR="00FE24BA" w:rsidRPr="00FE24BA">
          <w:rPr>
            <w:rStyle w:val="Hipervnculo"/>
            <w:rFonts w:ascii="Arial" w:hAnsi="Arial" w:cs="Arial"/>
            <w:b/>
            <w:color w:val="auto"/>
            <w:sz w:val="20"/>
            <w:szCs w:val="20"/>
            <w:u w:val="none"/>
          </w:rPr>
          <w:t>Notas de Gestión Administrativa</w:t>
        </w:r>
      </w:hyperlink>
    </w:p>
    <w:p w14:paraId="2CC57EF9" w14:textId="4AD96A11" w:rsidR="00FE24BA" w:rsidRDefault="00FE24BA" w:rsidP="00DE4889">
      <w:pPr>
        <w:shd w:val="clear" w:color="auto" w:fill="BFBFBF" w:themeFill="background1" w:themeFillShade="BF"/>
        <w:tabs>
          <w:tab w:val="left" w:leader="underscore" w:pos="9639"/>
        </w:tabs>
        <w:spacing w:after="0"/>
        <w:jc w:val="center"/>
        <w:rPr>
          <w:rFonts w:ascii="Arial" w:hAnsi="Arial" w:cs="Arial"/>
          <w:b/>
          <w:sz w:val="20"/>
          <w:szCs w:val="20"/>
        </w:rPr>
      </w:pPr>
      <w:r w:rsidRPr="00FE24BA">
        <w:rPr>
          <w:rFonts w:ascii="Arial" w:hAnsi="Arial" w:cs="Arial"/>
          <w:b/>
          <w:sz w:val="20"/>
          <w:szCs w:val="20"/>
        </w:rPr>
        <w:t>Correspondiente del 1 de Enero al 31 de Diciembre de 2019</w:t>
      </w:r>
    </w:p>
    <w:p w14:paraId="11C6DF2D" w14:textId="77777777" w:rsidR="00FE24BA" w:rsidRPr="00FE24BA" w:rsidRDefault="00FE24BA" w:rsidP="00890082">
      <w:pPr>
        <w:tabs>
          <w:tab w:val="left" w:leader="underscore" w:pos="9639"/>
        </w:tabs>
        <w:spacing w:after="0" w:line="240" w:lineRule="auto"/>
        <w:jc w:val="center"/>
        <w:rPr>
          <w:rFonts w:ascii="Arial" w:hAnsi="Arial" w:cs="Arial"/>
          <w:b/>
          <w:sz w:val="20"/>
          <w:szCs w:val="20"/>
        </w:rPr>
      </w:pPr>
    </w:p>
    <w:p w14:paraId="1217A01B" w14:textId="77777777" w:rsidR="007D1E76" w:rsidRPr="00890082" w:rsidRDefault="007D1E76" w:rsidP="00890082">
      <w:pPr>
        <w:tabs>
          <w:tab w:val="left" w:leader="underscore" w:pos="9639"/>
        </w:tabs>
        <w:spacing w:after="0" w:line="240" w:lineRule="auto"/>
        <w:jc w:val="both"/>
        <w:rPr>
          <w:rFonts w:ascii="Arial" w:hAnsi="Arial" w:cs="Arial"/>
          <w:sz w:val="20"/>
          <w:szCs w:val="20"/>
        </w:rPr>
      </w:pPr>
    </w:p>
    <w:p w14:paraId="79E36F9B" w14:textId="77777777" w:rsidR="00185591" w:rsidRPr="00890082" w:rsidRDefault="00185591" w:rsidP="00890082">
      <w:pPr>
        <w:pStyle w:val="Ttulo2"/>
        <w:spacing w:line="240" w:lineRule="auto"/>
        <w:rPr>
          <w:rFonts w:ascii="Arial" w:hAnsi="Arial" w:cs="Arial"/>
          <w:b/>
          <w:color w:val="auto"/>
          <w:sz w:val="20"/>
          <w:szCs w:val="20"/>
        </w:rPr>
      </w:pPr>
      <w:bookmarkStart w:id="0" w:name="_Toc526939477"/>
      <w:bookmarkStart w:id="1" w:name="_Toc526939555"/>
      <w:r w:rsidRPr="00890082">
        <w:rPr>
          <w:rFonts w:ascii="Arial" w:hAnsi="Arial" w:cs="Arial"/>
          <w:b/>
          <w:color w:val="auto"/>
          <w:sz w:val="20"/>
          <w:szCs w:val="20"/>
        </w:rPr>
        <w:t>1. Introducción:</w:t>
      </w:r>
      <w:bookmarkEnd w:id="0"/>
      <w:bookmarkEnd w:id="1"/>
    </w:p>
    <w:p w14:paraId="253D7E87"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Programas Educativos de Alfabetización y Educación Básica para Adultos dirigidos a las personas mayores de 15 años</w:t>
      </w:r>
    </w:p>
    <w:p w14:paraId="432BC63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4890187F" w14:textId="77777777" w:rsidR="00185591" w:rsidRPr="00890082" w:rsidRDefault="00185591" w:rsidP="00890082">
      <w:pPr>
        <w:pStyle w:val="Ttulo2"/>
        <w:spacing w:line="240" w:lineRule="auto"/>
        <w:rPr>
          <w:rFonts w:ascii="Arial" w:hAnsi="Arial" w:cs="Arial"/>
          <w:b/>
          <w:color w:val="auto"/>
          <w:sz w:val="20"/>
          <w:szCs w:val="20"/>
        </w:rPr>
      </w:pPr>
      <w:bookmarkStart w:id="2" w:name="_Toc526939478"/>
      <w:bookmarkStart w:id="3" w:name="_Toc526939556"/>
      <w:r w:rsidRPr="00890082">
        <w:rPr>
          <w:rFonts w:ascii="Arial" w:hAnsi="Arial" w:cs="Arial"/>
          <w:b/>
          <w:color w:val="auto"/>
          <w:sz w:val="20"/>
          <w:szCs w:val="20"/>
        </w:rPr>
        <w:t>2. Describir el panorama Económico y Financiero:</w:t>
      </w:r>
      <w:bookmarkEnd w:id="2"/>
      <w:bookmarkEnd w:id="3"/>
    </w:p>
    <w:p w14:paraId="5B089A0D"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Cumplimiento de las metas inicialmente planeadas, mediante el presupuesto asignado</w:t>
      </w:r>
    </w:p>
    <w:p w14:paraId="740AC8D3"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5CC73A44" w14:textId="77777777" w:rsidR="00185591" w:rsidRPr="00890082" w:rsidRDefault="00185591" w:rsidP="00890082">
      <w:pPr>
        <w:pStyle w:val="Ttulo2"/>
        <w:spacing w:line="240" w:lineRule="auto"/>
        <w:rPr>
          <w:rFonts w:ascii="Arial" w:hAnsi="Arial" w:cs="Arial"/>
          <w:b/>
          <w:color w:val="auto"/>
          <w:sz w:val="20"/>
          <w:szCs w:val="20"/>
        </w:rPr>
      </w:pPr>
      <w:bookmarkStart w:id="4" w:name="_Toc526939479"/>
      <w:bookmarkStart w:id="5" w:name="_Toc526939557"/>
      <w:r w:rsidRPr="00890082">
        <w:rPr>
          <w:rFonts w:ascii="Arial" w:hAnsi="Arial" w:cs="Arial"/>
          <w:b/>
          <w:color w:val="auto"/>
          <w:sz w:val="20"/>
          <w:szCs w:val="20"/>
        </w:rPr>
        <w:t>3. Autorización e Historia:</w:t>
      </w:r>
      <w:bookmarkEnd w:id="4"/>
      <w:bookmarkEnd w:id="5"/>
    </w:p>
    <w:p w14:paraId="13CD4011"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4848CE1D" w14:textId="77777777" w:rsidR="00890082" w:rsidRDefault="00890082" w:rsidP="00890082">
      <w:pPr>
        <w:tabs>
          <w:tab w:val="left" w:leader="underscore" w:pos="9639"/>
        </w:tabs>
        <w:spacing w:after="0" w:line="240" w:lineRule="auto"/>
        <w:jc w:val="both"/>
        <w:rPr>
          <w:rFonts w:ascii="Arial" w:hAnsi="Arial" w:cs="Arial"/>
          <w:b/>
          <w:sz w:val="20"/>
          <w:szCs w:val="20"/>
        </w:rPr>
      </w:pPr>
    </w:p>
    <w:p w14:paraId="07263EB5" w14:textId="1845C950"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Fecha de creación del ente.</w:t>
      </w:r>
    </w:p>
    <w:p w14:paraId="614050D6" w14:textId="41FCC74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27 de noviembre del 2012. Decreto Gubernativo Número 4</w:t>
      </w:r>
      <w:r w:rsidR="001533DF" w:rsidRPr="00890082">
        <w:rPr>
          <w:rFonts w:ascii="Arial" w:hAnsi="Arial" w:cs="Arial"/>
          <w:sz w:val="20"/>
          <w:szCs w:val="20"/>
        </w:rPr>
        <w:t>.</w:t>
      </w:r>
    </w:p>
    <w:p w14:paraId="7B6A0C96"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2E71D772"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Principales cambios en su estructura (interna históricamente).</w:t>
      </w:r>
    </w:p>
    <w:p w14:paraId="6062FB1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Descentralización de Recursos Financieros, Humanos y Materiales por parte de la Federación al Instituto.</w:t>
      </w:r>
    </w:p>
    <w:p w14:paraId="50488B69"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0A190900" w14:textId="77777777" w:rsidR="00185591" w:rsidRPr="00890082" w:rsidRDefault="00185591" w:rsidP="00890082">
      <w:pPr>
        <w:pStyle w:val="Ttulo2"/>
        <w:spacing w:line="240" w:lineRule="auto"/>
        <w:rPr>
          <w:rFonts w:ascii="Arial" w:hAnsi="Arial" w:cs="Arial"/>
          <w:b/>
          <w:color w:val="auto"/>
          <w:sz w:val="20"/>
          <w:szCs w:val="20"/>
        </w:rPr>
      </w:pPr>
      <w:bookmarkStart w:id="6" w:name="_Toc526939480"/>
      <w:bookmarkStart w:id="7" w:name="_Toc526939558"/>
      <w:r w:rsidRPr="00890082">
        <w:rPr>
          <w:rFonts w:ascii="Arial" w:hAnsi="Arial" w:cs="Arial"/>
          <w:b/>
          <w:color w:val="auto"/>
          <w:sz w:val="20"/>
          <w:szCs w:val="20"/>
        </w:rPr>
        <w:t>4. Organización y Objeto Social:</w:t>
      </w:r>
      <w:bookmarkEnd w:id="6"/>
      <w:bookmarkEnd w:id="7"/>
    </w:p>
    <w:p w14:paraId="58BE5F1B" w14:textId="77777777" w:rsidR="00746E6C" w:rsidRDefault="00746E6C" w:rsidP="00890082">
      <w:pPr>
        <w:tabs>
          <w:tab w:val="left" w:leader="underscore" w:pos="9639"/>
        </w:tabs>
        <w:spacing w:after="0" w:line="240" w:lineRule="auto"/>
        <w:jc w:val="both"/>
        <w:rPr>
          <w:rFonts w:ascii="Arial" w:hAnsi="Arial" w:cs="Arial"/>
          <w:sz w:val="20"/>
          <w:szCs w:val="20"/>
        </w:rPr>
      </w:pPr>
    </w:p>
    <w:p w14:paraId="7005E439" w14:textId="7756D1DF"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331FA45D" w14:textId="77777777" w:rsidR="00890082" w:rsidRDefault="00890082" w:rsidP="00890082">
      <w:pPr>
        <w:tabs>
          <w:tab w:val="left" w:leader="underscore" w:pos="9639"/>
        </w:tabs>
        <w:spacing w:after="0" w:line="240" w:lineRule="auto"/>
        <w:jc w:val="both"/>
        <w:rPr>
          <w:rFonts w:ascii="Arial" w:hAnsi="Arial" w:cs="Arial"/>
          <w:b/>
          <w:sz w:val="20"/>
          <w:szCs w:val="20"/>
        </w:rPr>
      </w:pPr>
    </w:p>
    <w:p w14:paraId="0F3C1957" w14:textId="2C181663"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Objeto social.</w:t>
      </w:r>
    </w:p>
    <w:p w14:paraId="0FA4EB09"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Tiene por objeto planear, coordinar, promover y operar sistemas, modalidades y programas educativos de alfabetización y educación básica dirigidos a las personas mayores de 15 años que están fuera del sistema educativo formal, buscando con ello abatir el rezago educativo y propiciar el aumento en el índice de alfabetización.</w:t>
      </w:r>
    </w:p>
    <w:p w14:paraId="44D9763C"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6599BDF3"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Principal actividad.</w:t>
      </w:r>
    </w:p>
    <w:p w14:paraId="56191188" w14:textId="6E4454B3"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Atender a las personas mayores de 15 años que están fuera d</w:t>
      </w:r>
      <w:r w:rsidR="001533DF" w:rsidRPr="00890082">
        <w:rPr>
          <w:rFonts w:ascii="Arial" w:hAnsi="Arial" w:cs="Arial"/>
          <w:sz w:val="20"/>
          <w:szCs w:val="20"/>
        </w:rPr>
        <w:t>e</w:t>
      </w:r>
      <w:r w:rsidRPr="00890082">
        <w:rPr>
          <w:rFonts w:ascii="Arial" w:hAnsi="Arial" w:cs="Arial"/>
          <w:sz w:val="20"/>
          <w:szCs w:val="20"/>
        </w:rPr>
        <w:t>l sistema educativo no formal, en la modalidad de alfabetización y educación básica, en sus niveles de primaria y secundaria.</w:t>
      </w:r>
    </w:p>
    <w:p w14:paraId="1AC26AB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2F84E64B" w14:textId="7255CFCD"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Ejercicio fiscal.</w:t>
      </w:r>
    </w:p>
    <w:p w14:paraId="18838FBC" w14:textId="06EEAA47" w:rsidR="00185591" w:rsidRPr="00890082" w:rsidRDefault="001533DF"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Enero a diciembre 2019.</w:t>
      </w:r>
    </w:p>
    <w:p w14:paraId="0A2DD387"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1B188650" w14:textId="61622BB1"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Régimen jurídico.</w:t>
      </w:r>
    </w:p>
    <w:p w14:paraId="16E55B3F" w14:textId="4A331F7C"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 xml:space="preserve">Persona Moral sin fines </w:t>
      </w:r>
      <w:r w:rsidR="001533DF" w:rsidRPr="00890082">
        <w:rPr>
          <w:rFonts w:ascii="Arial" w:hAnsi="Arial" w:cs="Arial"/>
          <w:sz w:val="20"/>
          <w:szCs w:val="20"/>
        </w:rPr>
        <w:t>de lucro.</w:t>
      </w:r>
    </w:p>
    <w:p w14:paraId="77EA2B7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6D937609" w14:textId="6B4C4045"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Pr="00890082">
        <w:rPr>
          <w:rFonts w:ascii="Arial" w:hAnsi="Arial" w:cs="Arial"/>
          <w:sz w:val="20"/>
          <w:szCs w:val="20"/>
        </w:rPr>
        <w:t xml:space="preserve"> Co</w:t>
      </w:r>
      <w:r w:rsidR="001533DF" w:rsidRPr="00890082">
        <w:rPr>
          <w:rFonts w:ascii="Arial" w:hAnsi="Arial" w:cs="Arial"/>
          <w:sz w:val="20"/>
          <w:szCs w:val="20"/>
        </w:rPr>
        <w:t>nsideraciones fiscales del ente</w:t>
      </w:r>
      <w:r w:rsidRPr="00890082">
        <w:rPr>
          <w:rFonts w:ascii="Arial" w:hAnsi="Arial" w:cs="Arial"/>
          <w:sz w:val="20"/>
          <w:szCs w:val="20"/>
        </w:rPr>
        <w:t>.</w:t>
      </w:r>
    </w:p>
    <w:p w14:paraId="4D241B73"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Retenedor de Salario y demás prestaciones que deriven de una relación laboral, Retenedor de Ingresos asimilados a salarios, Retenedor de Prestación de servicios profesionales, Retenedor de Arrendamiento y en general de uso o goce temporal de inmuebles.</w:t>
      </w:r>
    </w:p>
    <w:p w14:paraId="459E527B" w14:textId="56BB1D3D" w:rsidR="00CB5B0B" w:rsidRPr="00890082" w:rsidRDefault="00CB5B0B" w:rsidP="00890082">
      <w:pPr>
        <w:tabs>
          <w:tab w:val="left" w:leader="underscore" w:pos="9639"/>
        </w:tabs>
        <w:spacing w:after="0" w:line="240" w:lineRule="auto"/>
        <w:jc w:val="both"/>
        <w:rPr>
          <w:rFonts w:ascii="Arial" w:hAnsi="Arial" w:cs="Arial"/>
          <w:b/>
          <w:sz w:val="20"/>
          <w:szCs w:val="20"/>
        </w:rPr>
      </w:pPr>
    </w:p>
    <w:p w14:paraId="0528F3AF" w14:textId="41FFB032"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f)</w:t>
      </w:r>
      <w:r w:rsidRPr="00890082">
        <w:rPr>
          <w:rFonts w:ascii="Arial" w:hAnsi="Arial" w:cs="Arial"/>
          <w:sz w:val="20"/>
          <w:szCs w:val="20"/>
        </w:rPr>
        <w:t xml:space="preserve"> Estructura organizacional básica.</w:t>
      </w:r>
    </w:p>
    <w:p w14:paraId="0F194463" w14:textId="2DD82939" w:rsidR="00185591" w:rsidRDefault="00185591" w:rsidP="00890082">
      <w:pPr>
        <w:tabs>
          <w:tab w:val="left" w:leader="underscore" w:pos="9639"/>
        </w:tabs>
        <w:spacing w:after="0" w:line="240" w:lineRule="auto"/>
        <w:jc w:val="both"/>
        <w:rPr>
          <w:rFonts w:ascii="Arial" w:hAnsi="Arial" w:cs="Arial"/>
          <w:sz w:val="20"/>
          <w:szCs w:val="20"/>
        </w:rPr>
      </w:pPr>
    </w:p>
    <w:p w14:paraId="58B22AC0" w14:textId="461EE6AF" w:rsidR="00746E6C" w:rsidRDefault="00746E6C" w:rsidP="00890082">
      <w:pPr>
        <w:tabs>
          <w:tab w:val="left" w:leader="underscore" w:pos="9639"/>
        </w:tabs>
        <w:spacing w:after="0" w:line="240" w:lineRule="auto"/>
        <w:jc w:val="both"/>
        <w:rPr>
          <w:rFonts w:ascii="Arial" w:hAnsi="Arial" w:cs="Arial"/>
          <w:sz w:val="20"/>
          <w:szCs w:val="20"/>
        </w:rPr>
      </w:pPr>
    </w:p>
    <w:p w14:paraId="2A84A6BC" w14:textId="3DFD47FF" w:rsidR="00746E6C" w:rsidRDefault="00746E6C" w:rsidP="00890082">
      <w:pPr>
        <w:tabs>
          <w:tab w:val="left" w:leader="underscore" w:pos="9639"/>
        </w:tabs>
        <w:spacing w:after="0" w:line="240" w:lineRule="auto"/>
        <w:jc w:val="both"/>
        <w:rPr>
          <w:rFonts w:ascii="Arial" w:hAnsi="Arial" w:cs="Arial"/>
          <w:sz w:val="20"/>
          <w:szCs w:val="20"/>
        </w:rPr>
      </w:pPr>
    </w:p>
    <w:p w14:paraId="38BFE957" w14:textId="77777777" w:rsidR="00746E6C" w:rsidRPr="00890082" w:rsidRDefault="00746E6C" w:rsidP="00890082">
      <w:pPr>
        <w:tabs>
          <w:tab w:val="left" w:leader="underscore" w:pos="9639"/>
        </w:tabs>
        <w:spacing w:after="0" w:line="240" w:lineRule="auto"/>
        <w:jc w:val="both"/>
        <w:rPr>
          <w:rFonts w:ascii="Arial" w:hAnsi="Arial" w:cs="Arial"/>
          <w:sz w:val="20"/>
          <w:szCs w:val="20"/>
        </w:rPr>
      </w:pPr>
    </w:p>
    <w:p w14:paraId="0FC258DF" w14:textId="77777777" w:rsidR="00746E6C" w:rsidRDefault="00746E6C" w:rsidP="00890082">
      <w:pPr>
        <w:tabs>
          <w:tab w:val="left" w:leader="underscore" w:pos="9639"/>
        </w:tabs>
        <w:spacing w:after="0" w:line="240" w:lineRule="auto"/>
        <w:jc w:val="both"/>
        <w:rPr>
          <w:rFonts w:ascii="Arial" w:hAnsi="Arial" w:cs="Arial"/>
          <w:b/>
          <w:sz w:val="20"/>
          <w:szCs w:val="20"/>
        </w:rPr>
      </w:pPr>
    </w:p>
    <w:p w14:paraId="5C69776F" w14:textId="77777777" w:rsidR="00746E6C" w:rsidRDefault="00746E6C" w:rsidP="00890082">
      <w:pPr>
        <w:tabs>
          <w:tab w:val="left" w:leader="underscore" w:pos="9639"/>
        </w:tabs>
        <w:spacing w:after="0" w:line="240" w:lineRule="auto"/>
        <w:jc w:val="both"/>
        <w:rPr>
          <w:rFonts w:ascii="Arial" w:hAnsi="Arial" w:cs="Arial"/>
          <w:b/>
          <w:sz w:val="20"/>
          <w:szCs w:val="20"/>
        </w:rPr>
      </w:pPr>
    </w:p>
    <w:p w14:paraId="0CC03691" w14:textId="3BBBCB30" w:rsidR="00746E6C" w:rsidRDefault="00746E6C" w:rsidP="00890082">
      <w:pPr>
        <w:tabs>
          <w:tab w:val="left" w:leader="underscore" w:pos="9639"/>
        </w:tabs>
        <w:spacing w:after="0" w:line="240" w:lineRule="auto"/>
        <w:jc w:val="both"/>
        <w:rPr>
          <w:rFonts w:ascii="Arial" w:hAnsi="Arial" w:cs="Arial"/>
          <w:b/>
          <w:sz w:val="20"/>
          <w:szCs w:val="20"/>
        </w:rPr>
      </w:pPr>
    </w:p>
    <w:p w14:paraId="2E6ECCC0" w14:textId="6BB1B332" w:rsidR="00746E6C" w:rsidRDefault="00746E6C" w:rsidP="00890082">
      <w:pPr>
        <w:tabs>
          <w:tab w:val="left" w:leader="underscore" w:pos="9639"/>
        </w:tabs>
        <w:spacing w:after="0" w:line="240" w:lineRule="auto"/>
        <w:jc w:val="both"/>
        <w:rPr>
          <w:rFonts w:ascii="Arial" w:hAnsi="Arial" w:cs="Arial"/>
          <w:b/>
          <w:sz w:val="20"/>
          <w:szCs w:val="20"/>
        </w:rPr>
      </w:pPr>
    </w:p>
    <w:p w14:paraId="1B347004" w14:textId="2C38F53B" w:rsidR="00746E6C" w:rsidRDefault="00746E6C" w:rsidP="00890082">
      <w:pPr>
        <w:tabs>
          <w:tab w:val="left" w:leader="underscore" w:pos="9639"/>
        </w:tabs>
        <w:spacing w:after="0" w:line="240" w:lineRule="auto"/>
        <w:jc w:val="both"/>
        <w:rPr>
          <w:rFonts w:ascii="Arial" w:hAnsi="Arial" w:cs="Arial"/>
          <w:b/>
          <w:sz w:val="20"/>
          <w:szCs w:val="20"/>
        </w:rPr>
      </w:pPr>
      <w:r w:rsidRPr="00890082">
        <w:rPr>
          <w:rFonts w:ascii="Arial" w:hAnsi="Arial" w:cs="Arial"/>
          <w:noProof/>
          <w:sz w:val="20"/>
          <w:szCs w:val="20"/>
          <w:lang w:eastAsia="es-MX"/>
        </w:rPr>
        <w:lastRenderedPageBreak/>
        <w:drawing>
          <wp:anchor distT="0" distB="0" distL="114300" distR="114300" simplePos="0" relativeHeight="251660288" behindDoc="1" locked="0" layoutInCell="1" allowOverlap="1" wp14:anchorId="35ABE31E" wp14:editId="2024A7B6">
            <wp:simplePos x="0" y="0"/>
            <wp:positionH relativeFrom="page">
              <wp:align>center</wp:align>
            </wp:positionH>
            <wp:positionV relativeFrom="paragraph">
              <wp:posOffset>163195</wp:posOffset>
            </wp:positionV>
            <wp:extent cx="5724525" cy="3778250"/>
            <wp:effectExtent l="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778250"/>
                    </a:xfrm>
                    <a:prstGeom prst="rect">
                      <a:avLst/>
                    </a:prstGeom>
                    <a:noFill/>
                  </pic:spPr>
                </pic:pic>
              </a:graphicData>
            </a:graphic>
            <wp14:sizeRelH relativeFrom="page">
              <wp14:pctWidth>0</wp14:pctWidth>
            </wp14:sizeRelH>
            <wp14:sizeRelV relativeFrom="page">
              <wp14:pctHeight>0</wp14:pctHeight>
            </wp14:sizeRelV>
          </wp:anchor>
        </w:drawing>
      </w:r>
    </w:p>
    <w:p w14:paraId="494373BC" w14:textId="6523BA97" w:rsidR="00746E6C" w:rsidRDefault="00746E6C" w:rsidP="00890082">
      <w:pPr>
        <w:tabs>
          <w:tab w:val="left" w:leader="underscore" w:pos="9639"/>
        </w:tabs>
        <w:spacing w:after="0" w:line="240" w:lineRule="auto"/>
        <w:jc w:val="both"/>
        <w:rPr>
          <w:rFonts w:ascii="Arial" w:hAnsi="Arial" w:cs="Arial"/>
          <w:b/>
          <w:sz w:val="20"/>
          <w:szCs w:val="20"/>
        </w:rPr>
      </w:pPr>
    </w:p>
    <w:p w14:paraId="4AB5303F" w14:textId="1C816CD5"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g)</w:t>
      </w:r>
      <w:r w:rsidRPr="00890082">
        <w:rPr>
          <w:rFonts w:ascii="Arial" w:hAnsi="Arial" w:cs="Arial"/>
          <w:sz w:val="20"/>
          <w:szCs w:val="20"/>
        </w:rPr>
        <w:t xml:space="preserve"> Fideicomisos, mandatos y análogos de los cuales es fideicomitente o fideicomisario.</w:t>
      </w:r>
    </w:p>
    <w:p w14:paraId="2408B40F" w14:textId="37AA27B8"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2ED5AAA5" w14:textId="1CDB9BB6" w:rsidR="00185591" w:rsidRPr="00890082" w:rsidRDefault="00185591" w:rsidP="00890082">
      <w:pPr>
        <w:tabs>
          <w:tab w:val="left" w:leader="underscore" w:pos="9639"/>
        </w:tabs>
        <w:spacing w:after="0" w:line="240" w:lineRule="auto"/>
        <w:jc w:val="both"/>
        <w:rPr>
          <w:rFonts w:ascii="Arial" w:hAnsi="Arial" w:cs="Arial"/>
          <w:sz w:val="20"/>
          <w:szCs w:val="20"/>
        </w:rPr>
      </w:pPr>
    </w:p>
    <w:p w14:paraId="56004F30" w14:textId="173B8593" w:rsidR="00185591" w:rsidRPr="00890082" w:rsidRDefault="00185591" w:rsidP="00890082">
      <w:pPr>
        <w:pStyle w:val="Ttulo2"/>
        <w:spacing w:line="240" w:lineRule="auto"/>
        <w:rPr>
          <w:rFonts w:ascii="Arial" w:hAnsi="Arial" w:cs="Arial"/>
          <w:b/>
          <w:color w:val="auto"/>
          <w:sz w:val="20"/>
          <w:szCs w:val="20"/>
        </w:rPr>
      </w:pPr>
      <w:bookmarkStart w:id="8" w:name="_Toc526939481"/>
      <w:bookmarkStart w:id="9" w:name="_Toc526939559"/>
      <w:r w:rsidRPr="00890082">
        <w:rPr>
          <w:rFonts w:ascii="Arial" w:hAnsi="Arial" w:cs="Arial"/>
          <w:b/>
          <w:color w:val="auto"/>
          <w:sz w:val="20"/>
          <w:szCs w:val="20"/>
        </w:rPr>
        <w:t>5. Bases de Preparación de los Estados Financieros:</w:t>
      </w:r>
      <w:bookmarkEnd w:id="8"/>
      <w:bookmarkEnd w:id="9"/>
    </w:p>
    <w:p w14:paraId="4DB3E140" w14:textId="77777777" w:rsidR="00746E6C" w:rsidRDefault="00746E6C" w:rsidP="00890082">
      <w:pPr>
        <w:tabs>
          <w:tab w:val="left" w:leader="underscore" w:pos="9639"/>
        </w:tabs>
        <w:spacing w:after="0" w:line="240" w:lineRule="auto"/>
        <w:jc w:val="both"/>
        <w:rPr>
          <w:rFonts w:ascii="Arial" w:hAnsi="Arial" w:cs="Arial"/>
          <w:sz w:val="20"/>
          <w:szCs w:val="20"/>
        </w:rPr>
      </w:pPr>
    </w:p>
    <w:p w14:paraId="64EAB6B5" w14:textId="3942AB56"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1B702887"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38CF96AA"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Si se ha observado la normatividad emitida por el CONAC y las disposiciones legales aplicables.</w:t>
      </w:r>
    </w:p>
    <w:p w14:paraId="0ED3C683" w14:textId="77777777" w:rsidR="00185591" w:rsidRPr="00890082" w:rsidRDefault="00185591" w:rsidP="00890082">
      <w:pPr>
        <w:spacing w:line="240" w:lineRule="auto"/>
        <w:rPr>
          <w:rFonts w:ascii="Arial" w:hAnsi="Arial" w:cs="Arial"/>
          <w:sz w:val="20"/>
          <w:szCs w:val="20"/>
        </w:rPr>
      </w:pPr>
      <w:r w:rsidRPr="00890082">
        <w:rPr>
          <w:rFonts w:ascii="Arial" w:hAnsi="Arial" w:cs="Arial"/>
          <w:sz w:val="20"/>
          <w:szCs w:val="20"/>
        </w:rPr>
        <w:t>Las Bases de Preparación de los Estados Financieros observan en cierta medida la normatividad emitida por el CONAC y las disposiciones legales aplicables</w:t>
      </w:r>
    </w:p>
    <w:p w14:paraId="6D733F6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7953DB2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Las Bases de Preparación de los Estados Financieros observan en cierta medida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773D58F0"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0789F743"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Postulados básicos.</w:t>
      </w:r>
    </w:p>
    <w:p w14:paraId="52DF736C"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Las Bases de Preparación de los Estados Financieros aplican los Postulados Básicos de Registro Contable, el devengo del ingreso, entre otros, aún se encuentra en fase de desarrollo de los diferentes rubros de la información financiera</w:t>
      </w:r>
    </w:p>
    <w:p w14:paraId="615BC4E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189DEDD9" w14:textId="50447CFD"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Normatividad supletoria. </w:t>
      </w:r>
    </w:p>
    <w:p w14:paraId="7DBA511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543794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0891797C" w14:textId="737C8269"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lastRenderedPageBreak/>
        <w:t>e)</w:t>
      </w:r>
      <w:r w:rsidRPr="00890082">
        <w:rPr>
          <w:rFonts w:ascii="Arial" w:hAnsi="Arial" w:cs="Arial"/>
          <w:sz w:val="20"/>
          <w:szCs w:val="20"/>
        </w:rPr>
        <w:t xml:space="preserve"> Para las entidades que por primera vez estén</w:t>
      </w:r>
      <w:r w:rsidR="00332D18" w:rsidRPr="00890082">
        <w:rPr>
          <w:rFonts w:ascii="Arial" w:hAnsi="Arial" w:cs="Arial"/>
          <w:sz w:val="20"/>
          <w:szCs w:val="20"/>
        </w:rPr>
        <w:t xml:space="preserve"> implementando </w:t>
      </w:r>
      <w:r w:rsidR="00CB5B0B" w:rsidRPr="00890082">
        <w:rPr>
          <w:rFonts w:ascii="Arial" w:hAnsi="Arial" w:cs="Arial"/>
          <w:sz w:val="20"/>
          <w:szCs w:val="20"/>
        </w:rPr>
        <w:t>la base devengada</w:t>
      </w:r>
      <w:r w:rsidRPr="00890082">
        <w:rPr>
          <w:rFonts w:ascii="Arial" w:hAnsi="Arial" w:cs="Arial"/>
          <w:sz w:val="20"/>
          <w:szCs w:val="20"/>
        </w:rPr>
        <w:t xml:space="preserve"> de acuerdo a la Ley de Contabilidad, deberán:</w:t>
      </w:r>
    </w:p>
    <w:p w14:paraId="01A13085" w14:textId="58754F46" w:rsidR="00185591" w:rsidRPr="00890082" w:rsidRDefault="00185591" w:rsidP="00890082">
      <w:pPr>
        <w:pStyle w:val="Prrafodelista"/>
        <w:numPr>
          <w:ilvl w:val="0"/>
          <w:numId w:val="2"/>
        </w:num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Revelar las nuevas políticas de reconocimiento:</w:t>
      </w:r>
    </w:p>
    <w:p w14:paraId="1FCF1012" w14:textId="492B0A23" w:rsidR="00185591" w:rsidRPr="00890082" w:rsidRDefault="00185591" w:rsidP="00890082">
      <w:pPr>
        <w:pStyle w:val="Prrafodelista"/>
        <w:numPr>
          <w:ilvl w:val="0"/>
          <w:numId w:val="2"/>
        </w:num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Plan de implementación:</w:t>
      </w:r>
    </w:p>
    <w:p w14:paraId="735D39CE" w14:textId="77777777" w:rsidR="00332D18" w:rsidRPr="00890082" w:rsidRDefault="00185591" w:rsidP="00890082">
      <w:pPr>
        <w:pStyle w:val="Prrafodelista"/>
        <w:numPr>
          <w:ilvl w:val="0"/>
          <w:numId w:val="2"/>
        </w:num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Revelar los cambios en las políticas, la clasificación y medición de las mismas, así como su impacto en la información financiera:</w:t>
      </w:r>
    </w:p>
    <w:p w14:paraId="04ADEC48" w14:textId="2A46A60E" w:rsidR="00185591" w:rsidRPr="00890082" w:rsidRDefault="00185591" w:rsidP="00890082">
      <w:pPr>
        <w:pStyle w:val="Prrafodelista"/>
        <w:tabs>
          <w:tab w:val="left" w:leader="underscore" w:pos="9639"/>
        </w:tabs>
        <w:spacing w:after="0" w:line="240" w:lineRule="auto"/>
        <w:ind w:left="360"/>
        <w:jc w:val="both"/>
        <w:rPr>
          <w:rFonts w:ascii="Arial" w:hAnsi="Arial" w:cs="Arial"/>
          <w:sz w:val="20"/>
          <w:szCs w:val="20"/>
        </w:rPr>
      </w:pPr>
      <w:r w:rsidRPr="00890082">
        <w:rPr>
          <w:rFonts w:ascii="Arial" w:hAnsi="Arial" w:cs="Arial"/>
          <w:sz w:val="20"/>
          <w:szCs w:val="20"/>
        </w:rPr>
        <w:t>Firmar los EEFF de los Organismos Descentralizados solicitados por el CONAC publicados en el DOF y PO</w:t>
      </w:r>
    </w:p>
    <w:p w14:paraId="4E68B9AC" w14:textId="77777777" w:rsidR="00B317E0" w:rsidRPr="00890082" w:rsidRDefault="00B317E0" w:rsidP="00890082">
      <w:pPr>
        <w:tabs>
          <w:tab w:val="left" w:leader="underscore" w:pos="9639"/>
        </w:tabs>
        <w:spacing w:after="0" w:line="240" w:lineRule="auto"/>
        <w:jc w:val="both"/>
        <w:rPr>
          <w:rFonts w:ascii="Arial" w:hAnsi="Arial" w:cs="Arial"/>
          <w:sz w:val="20"/>
          <w:szCs w:val="20"/>
        </w:rPr>
      </w:pPr>
    </w:p>
    <w:p w14:paraId="162E373A" w14:textId="77777777" w:rsidR="00185591" w:rsidRPr="00890082" w:rsidRDefault="00185591" w:rsidP="00890082">
      <w:pPr>
        <w:pStyle w:val="Ttulo2"/>
        <w:spacing w:line="240" w:lineRule="auto"/>
        <w:rPr>
          <w:rFonts w:ascii="Arial" w:hAnsi="Arial" w:cs="Arial"/>
          <w:b/>
          <w:sz w:val="20"/>
          <w:szCs w:val="20"/>
        </w:rPr>
      </w:pPr>
      <w:bookmarkStart w:id="10" w:name="_Toc526939482"/>
      <w:bookmarkStart w:id="11" w:name="_Toc526939560"/>
      <w:r w:rsidRPr="00890082">
        <w:rPr>
          <w:rFonts w:ascii="Arial" w:hAnsi="Arial" w:cs="Arial"/>
          <w:b/>
          <w:color w:val="auto"/>
          <w:sz w:val="20"/>
          <w:szCs w:val="20"/>
        </w:rPr>
        <w:t>6. Políticas de Contabilidad Significativas:</w:t>
      </w:r>
      <w:bookmarkEnd w:id="10"/>
      <w:bookmarkEnd w:id="11"/>
    </w:p>
    <w:p w14:paraId="772D64D1" w14:textId="77777777" w:rsidR="00746E6C" w:rsidRDefault="00746E6C" w:rsidP="00890082">
      <w:pPr>
        <w:tabs>
          <w:tab w:val="left" w:leader="underscore" w:pos="9639"/>
        </w:tabs>
        <w:spacing w:after="0" w:line="240" w:lineRule="auto"/>
        <w:jc w:val="both"/>
        <w:rPr>
          <w:rFonts w:ascii="Arial" w:hAnsi="Arial" w:cs="Arial"/>
          <w:sz w:val="20"/>
          <w:szCs w:val="20"/>
        </w:rPr>
      </w:pPr>
    </w:p>
    <w:p w14:paraId="30E56C8F" w14:textId="08D53A62"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46F1CDE7" w14:textId="77777777" w:rsidR="00890082" w:rsidRDefault="00890082" w:rsidP="00890082">
      <w:pPr>
        <w:tabs>
          <w:tab w:val="left" w:leader="underscore" w:pos="9639"/>
        </w:tabs>
        <w:spacing w:after="0" w:line="240" w:lineRule="auto"/>
        <w:jc w:val="both"/>
        <w:rPr>
          <w:rFonts w:ascii="Arial" w:hAnsi="Arial" w:cs="Arial"/>
          <w:b/>
          <w:sz w:val="20"/>
          <w:szCs w:val="20"/>
        </w:rPr>
      </w:pPr>
    </w:p>
    <w:p w14:paraId="6C827147" w14:textId="43023681"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Actualización: </w:t>
      </w:r>
    </w:p>
    <w:p w14:paraId="6340ADF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35FFD8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548F1C55"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Informar sobre la realización de operaciones en el extranjero y de sus efectos en la información financiera gubernamental:</w:t>
      </w:r>
    </w:p>
    <w:p w14:paraId="113ECA5D"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0E61153"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05337832"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Método de valuación de la inversión en acciones de Compañías subsidiarias no consolidadas y asociadas:</w:t>
      </w:r>
    </w:p>
    <w:p w14:paraId="2296BDE1"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BFF1E8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554401C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Sistema y método de valuación de inventarios y costo de lo vendido:</w:t>
      </w:r>
    </w:p>
    <w:p w14:paraId="2D061BF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5E6BD4A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69CA0985" w14:textId="0A4075B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00332D18" w:rsidRPr="00890082">
        <w:rPr>
          <w:rFonts w:ascii="Arial" w:hAnsi="Arial" w:cs="Arial"/>
          <w:sz w:val="20"/>
          <w:szCs w:val="20"/>
        </w:rPr>
        <w:t xml:space="preserve"> Beneficios a empleados</w:t>
      </w:r>
      <w:r w:rsidRPr="00890082">
        <w:rPr>
          <w:rFonts w:ascii="Arial" w:hAnsi="Arial" w:cs="Arial"/>
          <w:sz w:val="20"/>
          <w:szCs w:val="20"/>
        </w:rPr>
        <w:t>:</w:t>
      </w:r>
    </w:p>
    <w:p w14:paraId="06DC210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5EB46E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6E0D064E" w14:textId="63E19DBA"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f)</w:t>
      </w:r>
      <w:r w:rsidRPr="00890082">
        <w:rPr>
          <w:rFonts w:ascii="Arial" w:hAnsi="Arial" w:cs="Arial"/>
          <w:sz w:val="20"/>
          <w:szCs w:val="20"/>
        </w:rPr>
        <w:t xml:space="preserve"> Provisiones: </w:t>
      </w:r>
    </w:p>
    <w:p w14:paraId="04B7C31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5BCBA51D"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2E8A23FA" w14:textId="718650DA"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g)</w:t>
      </w:r>
      <w:r w:rsidRPr="00890082">
        <w:rPr>
          <w:rFonts w:ascii="Arial" w:hAnsi="Arial" w:cs="Arial"/>
          <w:sz w:val="20"/>
          <w:szCs w:val="20"/>
        </w:rPr>
        <w:t xml:space="preserve"> Reservas: </w:t>
      </w:r>
    </w:p>
    <w:p w14:paraId="0492EA8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33B8261"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6D056E1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h)</w:t>
      </w:r>
      <w:r w:rsidRPr="00890082">
        <w:rPr>
          <w:rFonts w:ascii="Arial" w:hAnsi="Arial" w:cs="Arial"/>
          <w:sz w:val="20"/>
          <w:szCs w:val="20"/>
        </w:rPr>
        <w:t xml:space="preserve"> Cambios en políticas contables y corrección de errores junto con la revelación de los efectos que se tendrá en la información financiera del ente público, ya sea retrospectivos o prospectivos:</w:t>
      </w:r>
    </w:p>
    <w:p w14:paraId="045D8B07" w14:textId="25D957D3"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Los Organismos Descentralizados, a partir del ejercicio fiscal 2011 han venido presentando la nueva estructura de registro contable y presupuestal normada por el CONAC. Asimismo, las guías contabilizadoras, la matriz de conversión y los nuevos procesos de Registro que de ellas emanan han sido aplicadas en el SIHP</w:t>
      </w:r>
      <w:r w:rsidR="00332D18" w:rsidRPr="00890082">
        <w:rPr>
          <w:rFonts w:ascii="Arial" w:hAnsi="Arial" w:cs="Arial"/>
          <w:sz w:val="20"/>
          <w:szCs w:val="20"/>
        </w:rPr>
        <w:t>.</w:t>
      </w:r>
    </w:p>
    <w:p w14:paraId="13AB4C36" w14:textId="0CA1F74C" w:rsidR="00185591" w:rsidRPr="00890082" w:rsidRDefault="00185591" w:rsidP="00890082">
      <w:pPr>
        <w:tabs>
          <w:tab w:val="left" w:leader="underscore" w:pos="9639"/>
        </w:tabs>
        <w:spacing w:after="0" w:line="240" w:lineRule="auto"/>
        <w:jc w:val="both"/>
        <w:rPr>
          <w:rFonts w:ascii="Arial" w:hAnsi="Arial" w:cs="Arial"/>
          <w:sz w:val="20"/>
          <w:szCs w:val="20"/>
        </w:rPr>
      </w:pPr>
    </w:p>
    <w:p w14:paraId="2D975DBA" w14:textId="3984CB59"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i)</w:t>
      </w:r>
      <w:r w:rsidRPr="00890082">
        <w:rPr>
          <w:rFonts w:ascii="Arial" w:hAnsi="Arial" w:cs="Arial"/>
          <w:sz w:val="20"/>
          <w:szCs w:val="20"/>
        </w:rPr>
        <w:t xml:space="preserve"> Reclasificaciones: </w:t>
      </w:r>
    </w:p>
    <w:p w14:paraId="22F3858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3578262"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7F31D5B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j)</w:t>
      </w:r>
      <w:r w:rsidRPr="00890082">
        <w:rPr>
          <w:rFonts w:ascii="Arial" w:hAnsi="Arial" w:cs="Arial"/>
          <w:sz w:val="20"/>
          <w:szCs w:val="20"/>
        </w:rPr>
        <w:t xml:space="preserve"> Depuración y cancelación de saldos:</w:t>
      </w:r>
    </w:p>
    <w:p w14:paraId="35E0F83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2A03AD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27FF100C" w14:textId="77777777" w:rsidR="00185591" w:rsidRPr="00890082" w:rsidRDefault="00185591" w:rsidP="00890082">
      <w:pPr>
        <w:pStyle w:val="Ttulo2"/>
        <w:spacing w:line="240" w:lineRule="auto"/>
        <w:rPr>
          <w:rFonts w:ascii="Arial" w:hAnsi="Arial" w:cs="Arial"/>
          <w:b/>
          <w:color w:val="auto"/>
          <w:sz w:val="20"/>
          <w:szCs w:val="20"/>
        </w:rPr>
      </w:pPr>
      <w:bookmarkStart w:id="12" w:name="_Toc526939483"/>
      <w:bookmarkStart w:id="13" w:name="_Toc526939561"/>
      <w:r w:rsidRPr="00890082">
        <w:rPr>
          <w:rFonts w:ascii="Arial" w:hAnsi="Arial" w:cs="Arial"/>
          <w:b/>
          <w:color w:val="auto"/>
          <w:sz w:val="20"/>
          <w:szCs w:val="20"/>
        </w:rPr>
        <w:t>7. Posición en Moneda Extranjera y Protección por Riesgo Cambiario:</w:t>
      </w:r>
      <w:bookmarkEnd w:id="12"/>
      <w:bookmarkEnd w:id="13"/>
    </w:p>
    <w:p w14:paraId="3D27CD5D"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3AFE2E3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4440E8F9"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Activos en moneda extranjera:</w:t>
      </w:r>
    </w:p>
    <w:p w14:paraId="09367A3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9FC519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2FD23EF5"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Pasivos en moneda extranjera:</w:t>
      </w:r>
    </w:p>
    <w:p w14:paraId="2FC60C9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5BDD5FDB"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56B34972"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 xml:space="preserve">c) </w:t>
      </w:r>
      <w:r w:rsidRPr="00890082">
        <w:rPr>
          <w:rFonts w:ascii="Arial" w:hAnsi="Arial" w:cs="Arial"/>
          <w:sz w:val="20"/>
          <w:szCs w:val="20"/>
        </w:rPr>
        <w:t>Posición en moneda extranjera:</w:t>
      </w:r>
    </w:p>
    <w:p w14:paraId="3715820A"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F2A9B7D"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309BECCB"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Tipo de cambio:</w:t>
      </w:r>
    </w:p>
    <w:p w14:paraId="68D7EE2D"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ED92AA9"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2C4667F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 xml:space="preserve">e) </w:t>
      </w:r>
      <w:r w:rsidRPr="00890082">
        <w:rPr>
          <w:rFonts w:ascii="Arial" w:hAnsi="Arial" w:cs="Arial"/>
          <w:sz w:val="20"/>
          <w:szCs w:val="20"/>
        </w:rPr>
        <w:t>Equivalente en moneda nacional:</w:t>
      </w:r>
    </w:p>
    <w:p w14:paraId="240F4F0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A570F96"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78FDE41A"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Lo anterior por cada tipo de moneda extranjera que se encuentre en los rubros de activo y pasivo.</w:t>
      </w:r>
    </w:p>
    <w:p w14:paraId="3F24A7F7"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Adicionalmente se informará sobre los métodos de protección de riesgo por variaciones en el tipo de cambio.</w:t>
      </w:r>
    </w:p>
    <w:p w14:paraId="1EAD1FE3"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72AD0607" w14:textId="77777777" w:rsidR="00185591" w:rsidRPr="00890082" w:rsidRDefault="00185591" w:rsidP="00890082">
      <w:pPr>
        <w:pStyle w:val="Ttulo2"/>
        <w:spacing w:line="240" w:lineRule="auto"/>
        <w:rPr>
          <w:rFonts w:ascii="Arial" w:hAnsi="Arial" w:cs="Arial"/>
          <w:b/>
          <w:color w:val="auto"/>
          <w:sz w:val="20"/>
          <w:szCs w:val="20"/>
        </w:rPr>
      </w:pPr>
      <w:bookmarkStart w:id="14" w:name="_Toc526939484"/>
      <w:bookmarkStart w:id="15" w:name="_Toc526939562"/>
      <w:r w:rsidRPr="00890082">
        <w:rPr>
          <w:rFonts w:ascii="Arial" w:hAnsi="Arial" w:cs="Arial"/>
          <w:b/>
          <w:color w:val="auto"/>
          <w:sz w:val="20"/>
          <w:szCs w:val="20"/>
        </w:rPr>
        <w:t>8. Reporte Analítico del Activo:</w:t>
      </w:r>
      <w:bookmarkEnd w:id="14"/>
      <w:bookmarkEnd w:id="15"/>
    </w:p>
    <w:p w14:paraId="3C317B61" w14:textId="77777777" w:rsidR="00746E6C" w:rsidRDefault="00746E6C" w:rsidP="00890082">
      <w:pPr>
        <w:tabs>
          <w:tab w:val="left" w:leader="underscore" w:pos="9639"/>
        </w:tabs>
        <w:spacing w:after="0" w:line="240" w:lineRule="auto"/>
        <w:jc w:val="both"/>
        <w:rPr>
          <w:rFonts w:ascii="Arial" w:hAnsi="Arial" w:cs="Arial"/>
          <w:sz w:val="20"/>
          <w:szCs w:val="20"/>
        </w:rPr>
      </w:pPr>
    </w:p>
    <w:p w14:paraId="446DB911" w14:textId="23818E01"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Debe mostrar la siguiente información:</w:t>
      </w:r>
    </w:p>
    <w:p w14:paraId="40618822"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78B05AB6"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Vida útil o porcentajes de depreciación, deterioro o amortización utilizados en los diferentes tipos de activos:</w:t>
      </w:r>
    </w:p>
    <w:p w14:paraId="2094FA92"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E5D6FA9"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319157D9"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Cambios en el porcentaje de depreciación o valor residual de los activos:</w:t>
      </w:r>
    </w:p>
    <w:p w14:paraId="2FE3F52D"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De conformidad con la norma de CONAC y los alcances del SIHP, actualmente sólo pueden considerarse las 40 clases de activos vigentes.</w:t>
      </w:r>
    </w:p>
    <w:p w14:paraId="574194EA"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09FABF7C"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Importe de los gastos capitalizados en el ejercicio, tanto financieros como de investigación y desarrollo:</w:t>
      </w:r>
    </w:p>
    <w:p w14:paraId="7390AFCA"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0B4DDFC"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05B4BAE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Riesgos por tipo de cambio o tipo de interés de las inversiones financieras:</w:t>
      </w:r>
    </w:p>
    <w:p w14:paraId="017400A6"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5A499F05"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55665DE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 xml:space="preserve">e) </w:t>
      </w:r>
      <w:r w:rsidRPr="00890082">
        <w:rPr>
          <w:rFonts w:ascii="Arial" w:hAnsi="Arial" w:cs="Arial"/>
          <w:sz w:val="20"/>
          <w:szCs w:val="20"/>
        </w:rPr>
        <w:t>Valor activado en el ejercicio de los bienes construidos por la entidad:</w:t>
      </w:r>
    </w:p>
    <w:p w14:paraId="532E53F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3582923"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582EE799"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f)</w:t>
      </w:r>
      <w:r w:rsidRPr="00890082">
        <w:rPr>
          <w:rFonts w:ascii="Arial" w:hAnsi="Arial" w:cs="Arial"/>
          <w:sz w:val="20"/>
          <w:szCs w:val="20"/>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14:paraId="1A77C827"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046456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22E153F7"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g)</w:t>
      </w:r>
      <w:r w:rsidRPr="00890082">
        <w:rPr>
          <w:rFonts w:ascii="Arial" w:hAnsi="Arial" w:cs="Arial"/>
          <w:sz w:val="20"/>
          <w:szCs w:val="20"/>
        </w:rPr>
        <w:t xml:space="preserve"> Desmantelamiento de Activos, procedimientos, implicaciones, efectos contables:</w:t>
      </w:r>
    </w:p>
    <w:p w14:paraId="395EF28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A8A7445"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7C9B2506"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h)</w:t>
      </w:r>
      <w:r w:rsidRPr="00890082">
        <w:rPr>
          <w:rFonts w:ascii="Arial" w:hAnsi="Arial" w:cs="Arial"/>
          <w:sz w:val="20"/>
          <w:szCs w:val="20"/>
        </w:rPr>
        <w:t xml:space="preserve"> Administración de activos; planeación con el objetivo de que el ente los utilice de manera más efectiva:</w:t>
      </w:r>
    </w:p>
    <w:p w14:paraId="66E84C97"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8CF2EF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3F49D26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Adicionalmente, se deben incluir las explicaciones de las principales variaciones en el activo, en cuadros comparativos como sigue:</w:t>
      </w:r>
    </w:p>
    <w:p w14:paraId="0E1ACD5C"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3544FE8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Inversiones en valores:</w:t>
      </w:r>
    </w:p>
    <w:p w14:paraId="32E4DB5B"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212B7007" w14:textId="77777777" w:rsidR="00890082" w:rsidRPr="00890082" w:rsidRDefault="00890082" w:rsidP="00890082">
      <w:pPr>
        <w:tabs>
          <w:tab w:val="left" w:leader="underscore" w:pos="9639"/>
        </w:tabs>
        <w:spacing w:after="0" w:line="240" w:lineRule="auto"/>
        <w:jc w:val="both"/>
        <w:rPr>
          <w:rFonts w:ascii="Arial" w:hAnsi="Arial" w:cs="Arial"/>
          <w:sz w:val="20"/>
          <w:szCs w:val="20"/>
        </w:rPr>
      </w:pPr>
    </w:p>
    <w:p w14:paraId="307BC069"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Patrimonio de Organismos descentralizados de Control Presupuestario Indirecto:</w:t>
      </w:r>
    </w:p>
    <w:p w14:paraId="169158E9"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610C912C"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3A2A3D7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Inversiones en empresas de participación mayoritaria:</w:t>
      </w:r>
    </w:p>
    <w:p w14:paraId="0185016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6694B4D2" w14:textId="515708DC" w:rsidR="00185591" w:rsidRDefault="00185591" w:rsidP="00890082">
      <w:pPr>
        <w:tabs>
          <w:tab w:val="left" w:leader="underscore" w:pos="9639"/>
        </w:tabs>
        <w:spacing w:after="0" w:line="240" w:lineRule="auto"/>
        <w:jc w:val="both"/>
        <w:rPr>
          <w:rFonts w:ascii="Arial" w:hAnsi="Arial" w:cs="Arial"/>
          <w:sz w:val="20"/>
          <w:szCs w:val="20"/>
        </w:rPr>
      </w:pPr>
    </w:p>
    <w:p w14:paraId="12FBCAD9" w14:textId="77777777" w:rsidR="00746E6C" w:rsidRPr="00890082" w:rsidRDefault="00746E6C" w:rsidP="00890082">
      <w:pPr>
        <w:tabs>
          <w:tab w:val="left" w:leader="underscore" w:pos="9639"/>
        </w:tabs>
        <w:spacing w:after="0" w:line="240" w:lineRule="auto"/>
        <w:jc w:val="both"/>
        <w:rPr>
          <w:rFonts w:ascii="Arial" w:hAnsi="Arial" w:cs="Arial"/>
          <w:sz w:val="20"/>
          <w:szCs w:val="20"/>
        </w:rPr>
      </w:pPr>
    </w:p>
    <w:p w14:paraId="71E9D0A7"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lastRenderedPageBreak/>
        <w:t>d)</w:t>
      </w:r>
      <w:r w:rsidRPr="00890082">
        <w:rPr>
          <w:rFonts w:ascii="Arial" w:hAnsi="Arial" w:cs="Arial"/>
          <w:sz w:val="20"/>
          <w:szCs w:val="20"/>
        </w:rPr>
        <w:t xml:space="preserve"> Inversiones en empresas de participación minoritaria:</w:t>
      </w:r>
    </w:p>
    <w:p w14:paraId="31F67F5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5880235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46D9A32B"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Pr="00890082">
        <w:rPr>
          <w:rFonts w:ascii="Arial" w:hAnsi="Arial" w:cs="Arial"/>
          <w:sz w:val="20"/>
          <w:szCs w:val="20"/>
        </w:rPr>
        <w:t xml:space="preserve"> Patrimonio de organismos descentralizados de control presupuestario directo, según corresponda:</w:t>
      </w:r>
    </w:p>
    <w:p w14:paraId="2655702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6BD5A1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47109F13" w14:textId="77777777" w:rsidR="00185591" w:rsidRPr="00890082" w:rsidRDefault="00185591" w:rsidP="00890082">
      <w:pPr>
        <w:pStyle w:val="Ttulo2"/>
        <w:spacing w:line="240" w:lineRule="auto"/>
        <w:rPr>
          <w:rFonts w:ascii="Arial" w:hAnsi="Arial" w:cs="Arial"/>
          <w:b/>
          <w:color w:val="auto"/>
          <w:sz w:val="20"/>
          <w:szCs w:val="20"/>
        </w:rPr>
      </w:pPr>
      <w:bookmarkStart w:id="16" w:name="_Toc526939485"/>
      <w:bookmarkStart w:id="17" w:name="_Toc526939563"/>
      <w:r w:rsidRPr="00890082">
        <w:rPr>
          <w:rFonts w:ascii="Arial" w:hAnsi="Arial" w:cs="Arial"/>
          <w:b/>
          <w:color w:val="auto"/>
          <w:sz w:val="20"/>
          <w:szCs w:val="20"/>
        </w:rPr>
        <w:t>9. Fideicomisos, Mandatos y Análogos:</w:t>
      </w:r>
      <w:bookmarkEnd w:id="16"/>
      <w:bookmarkEnd w:id="17"/>
    </w:p>
    <w:p w14:paraId="784579D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deberá informar:</w:t>
      </w:r>
    </w:p>
    <w:p w14:paraId="1C6059F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3768345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Por ramo administrativo que los reporta:</w:t>
      </w:r>
    </w:p>
    <w:p w14:paraId="33ADD99C"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2835CD52"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331286C0"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Enlistar los de mayor monto de disponibilidad, relacionando aquéllos que conforman el 80% de las disponibilidades:</w:t>
      </w:r>
    </w:p>
    <w:p w14:paraId="68C843EC"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65E29C35"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418F9789" w14:textId="77777777" w:rsidR="00185591" w:rsidRPr="00890082" w:rsidRDefault="00185591" w:rsidP="00890082">
      <w:pPr>
        <w:pStyle w:val="Ttulo2"/>
        <w:spacing w:line="240" w:lineRule="auto"/>
        <w:rPr>
          <w:rFonts w:ascii="Arial" w:hAnsi="Arial" w:cs="Arial"/>
          <w:b/>
          <w:color w:val="auto"/>
          <w:sz w:val="20"/>
          <w:szCs w:val="20"/>
        </w:rPr>
      </w:pPr>
      <w:bookmarkStart w:id="18" w:name="_Toc526939486"/>
      <w:bookmarkStart w:id="19" w:name="_Toc526939564"/>
      <w:r w:rsidRPr="00890082">
        <w:rPr>
          <w:rFonts w:ascii="Arial" w:hAnsi="Arial" w:cs="Arial"/>
          <w:b/>
          <w:color w:val="auto"/>
          <w:sz w:val="20"/>
          <w:szCs w:val="20"/>
        </w:rPr>
        <w:t>10. Reporte de la Recaudación:</w:t>
      </w:r>
      <w:bookmarkEnd w:id="18"/>
      <w:bookmarkEnd w:id="19"/>
    </w:p>
    <w:p w14:paraId="3CB54D65"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1266E161"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Análisis del comportamiento de la recaudación correspondiente al ente público o cualquier tipo de ingreso, de forma separada los ingresos locales de los federales:</w:t>
      </w:r>
    </w:p>
    <w:p w14:paraId="0FE0F6D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46B7811"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69EA00B6"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Proyección de la recaudación e ingresos en el mediano plazo:</w:t>
      </w:r>
    </w:p>
    <w:p w14:paraId="512A2C7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59F8D61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3A3998FB" w14:textId="77777777" w:rsidR="00185591" w:rsidRPr="00890082" w:rsidRDefault="00185591" w:rsidP="00890082">
      <w:pPr>
        <w:pStyle w:val="Ttulo2"/>
        <w:spacing w:line="240" w:lineRule="auto"/>
        <w:rPr>
          <w:rFonts w:ascii="Arial" w:hAnsi="Arial" w:cs="Arial"/>
          <w:b/>
          <w:color w:val="auto"/>
          <w:sz w:val="20"/>
          <w:szCs w:val="20"/>
        </w:rPr>
      </w:pPr>
      <w:bookmarkStart w:id="20" w:name="_Toc526939487"/>
      <w:bookmarkStart w:id="21" w:name="_Toc526939565"/>
      <w:r w:rsidRPr="00890082">
        <w:rPr>
          <w:rFonts w:ascii="Arial" w:hAnsi="Arial" w:cs="Arial"/>
          <w:b/>
          <w:color w:val="auto"/>
          <w:sz w:val="20"/>
          <w:szCs w:val="20"/>
        </w:rPr>
        <w:t>11. Información sobre la Deuda y el Reporte Analítico de la Deuda:</w:t>
      </w:r>
      <w:bookmarkEnd w:id="20"/>
      <w:bookmarkEnd w:id="21"/>
    </w:p>
    <w:p w14:paraId="4EAE953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1AA0775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Utilizar al menos los siguientes indicadores: deuda respecto al PIB y deuda respecto a la recaudación tomando, como mínimo, un período igual o menor a 5 años.</w:t>
      </w:r>
    </w:p>
    <w:p w14:paraId="190F1C33"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73B990F6"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Información de manera agrupada por tipo de valor gubernamental o instrumento financiero en la que se consideren intereses, comisiones, tasa, perfil de vencimiento y otros gastos de la deuda.</w:t>
      </w:r>
    </w:p>
    <w:p w14:paraId="30FB35AA"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 Se anexará la información en las notas de desglose.</w:t>
      </w:r>
    </w:p>
    <w:p w14:paraId="30467DD2"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1B55AA92" w14:textId="77777777" w:rsidR="00185591" w:rsidRPr="00890082" w:rsidRDefault="00185591" w:rsidP="00890082">
      <w:pPr>
        <w:pStyle w:val="Ttulo2"/>
        <w:spacing w:line="240" w:lineRule="auto"/>
        <w:rPr>
          <w:rFonts w:ascii="Arial" w:hAnsi="Arial" w:cs="Arial"/>
          <w:b/>
          <w:color w:val="auto"/>
          <w:sz w:val="20"/>
          <w:szCs w:val="20"/>
        </w:rPr>
      </w:pPr>
      <w:bookmarkStart w:id="22" w:name="_Toc526939488"/>
      <w:bookmarkStart w:id="23" w:name="_Toc526939566"/>
      <w:r w:rsidRPr="00890082">
        <w:rPr>
          <w:rFonts w:ascii="Arial" w:hAnsi="Arial" w:cs="Arial"/>
          <w:b/>
          <w:color w:val="auto"/>
          <w:sz w:val="20"/>
          <w:szCs w:val="20"/>
        </w:rPr>
        <w:t>12. Calificaciones otorgadas:</w:t>
      </w:r>
      <w:bookmarkEnd w:id="22"/>
      <w:bookmarkEnd w:id="23"/>
    </w:p>
    <w:p w14:paraId="27216CF3"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Informar, tanto del ente público como cualquier transacción realizada, que haya sido sujeta a una calificación crediticia:</w:t>
      </w:r>
    </w:p>
    <w:p w14:paraId="485D6E6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3626F17"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324CAC3C" w14:textId="77777777" w:rsidR="00185591" w:rsidRPr="00890082" w:rsidRDefault="00185591" w:rsidP="00890082">
      <w:pPr>
        <w:pStyle w:val="Ttulo2"/>
        <w:spacing w:line="240" w:lineRule="auto"/>
        <w:rPr>
          <w:rFonts w:ascii="Arial" w:hAnsi="Arial" w:cs="Arial"/>
          <w:b/>
          <w:color w:val="auto"/>
          <w:sz w:val="20"/>
          <w:szCs w:val="20"/>
        </w:rPr>
      </w:pPr>
      <w:bookmarkStart w:id="24" w:name="_Toc526939489"/>
      <w:bookmarkStart w:id="25" w:name="_Toc526939567"/>
      <w:r w:rsidRPr="00890082">
        <w:rPr>
          <w:rFonts w:ascii="Arial" w:hAnsi="Arial" w:cs="Arial"/>
          <w:b/>
          <w:color w:val="auto"/>
          <w:sz w:val="20"/>
          <w:szCs w:val="20"/>
        </w:rPr>
        <w:t>13. Proceso de Mejora:</w:t>
      </w:r>
      <w:bookmarkEnd w:id="24"/>
      <w:bookmarkEnd w:id="25"/>
    </w:p>
    <w:p w14:paraId="19AF6E1C"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de:</w:t>
      </w:r>
    </w:p>
    <w:p w14:paraId="0A95282B" w14:textId="77777777" w:rsidR="00890082" w:rsidRDefault="00890082" w:rsidP="00890082">
      <w:pPr>
        <w:tabs>
          <w:tab w:val="left" w:leader="underscore" w:pos="9639"/>
        </w:tabs>
        <w:spacing w:after="0" w:line="240" w:lineRule="auto"/>
        <w:jc w:val="both"/>
        <w:rPr>
          <w:rFonts w:ascii="Arial" w:hAnsi="Arial" w:cs="Arial"/>
          <w:b/>
          <w:sz w:val="20"/>
          <w:szCs w:val="20"/>
        </w:rPr>
      </w:pPr>
    </w:p>
    <w:p w14:paraId="3581C6B9" w14:textId="7A46D638"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Principales Políticas de control interno:</w:t>
      </w:r>
    </w:p>
    <w:p w14:paraId="4EB18817"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BBEAEE1"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2D479D05"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Medidas de desempeño financiero, metas y alcance:</w:t>
      </w:r>
    </w:p>
    <w:p w14:paraId="2F5F93E5"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0B9922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6A29CE51" w14:textId="77777777" w:rsidR="00185591" w:rsidRPr="00890082" w:rsidRDefault="00185591" w:rsidP="00890082">
      <w:pPr>
        <w:pStyle w:val="Ttulo2"/>
        <w:spacing w:line="240" w:lineRule="auto"/>
        <w:rPr>
          <w:rFonts w:ascii="Arial" w:hAnsi="Arial" w:cs="Arial"/>
          <w:b/>
          <w:color w:val="auto"/>
          <w:sz w:val="20"/>
          <w:szCs w:val="20"/>
        </w:rPr>
      </w:pPr>
      <w:bookmarkStart w:id="26" w:name="_Toc526939490"/>
      <w:bookmarkStart w:id="27" w:name="_Toc526939568"/>
      <w:r w:rsidRPr="00890082">
        <w:rPr>
          <w:rFonts w:ascii="Arial" w:hAnsi="Arial" w:cs="Arial"/>
          <w:b/>
          <w:color w:val="auto"/>
          <w:sz w:val="20"/>
          <w:szCs w:val="20"/>
        </w:rPr>
        <w:t>14. Información por Segmentos:</w:t>
      </w:r>
      <w:bookmarkEnd w:id="26"/>
      <w:bookmarkEnd w:id="27"/>
    </w:p>
    <w:p w14:paraId="171401A1"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Cuando se considere necesario se podrá revelar la información financiera de manera segmentada debido a la diversidad de las actividades y operaciones que realizan los entes públicos, ya que la misma proporciona información acerca de las diferentes actividades operativas en las cuales participa, de los productos o servicios que maneja, de las diferentes áreas geográficas, de los grupos homogéneos con el objetivo de entender el desempeño del ente, evaluar mejor los riesgos y beneficios del mismo; y entenderlo como un todo y sus partes integrantes.</w:t>
      </w:r>
    </w:p>
    <w:p w14:paraId="12B7D580"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lastRenderedPageBreak/>
        <w:t>Consecuentemente, esta información contribuye al análisis más preciso de la situación financiera, grados y fuentes de riesgo y crecimiento potencial de negocio.</w:t>
      </w:r>
    </w:p>
    <w:p w14:paraId="31863A6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057C913D" w14:textId="77777777" w:rsidR="00185591" w:rsidRPr="00890082" w:rsidRDefault="00185591" w:rsidP="00890082">
      <w:pPr>
        <w:pStyle w:val="Ttulo2"/>
        <w:spacing w:line="240" w:lineRule="auto"/>
        <w:rPr>
          <w:rFonts w:ascii="Arial" w:hAnsi="Arial" w:cs="Arial"/>
          <w:b/>
          <w:color w:val="auto"/>
          <w:sz w:val="20"/>
          <w:szCs w:val="20"/>
        </w:rPr>
      </w:pPr>
      <w:bookmarkStart w:id="28" w:name="_Toc526939491"/>
      <w:bookmarkStart w:id="29" w:name="_Toc526939569"/>
      <w:r w:rsidRPr="00890082">
        <w:rPr>
          <w:rFonts w:ascii="Arial" w:hAnsi="Arial" w:cs="Arial"/>
          <w:b/>
          <w:color w:val="auto"/>
          <w:sz w:val="20"/>
          <w:szCs w:val="20"/>
        </w:rPr>
        <w:t>15. Eventos Posteriores al Cierre:</w:t>
      </w:r>
      <w:bookmarkEnd w:id="28"/>
      <w:bookmarkEnd w:id="29"/>
    </w:p>
    <w:p w14:paraId="2632235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El ente público informará el efecto en sus estados financieros de aquellos hechos ocurridos en el período posterior al que informa, que proporcionan mayor evidencia sobre eventos que le afectan económicamente y que no se conocían a la fecha de cierre.</w:t>
      </w:r>
      <w:r w:rsidRPr="00890082">
        <w:rPr>
          <w:rFonts w:ascii="Arial" w:hAnsi="Arial" w:cs="Arial"/>
          <w:sz w:val="20"/>
          <w:szCs w:val="20"/>
        </w:rPr>
        <w:cr/>
      </w:r>
    </w:p>
    <w:p w14:paraId="6C83AABB" w14:textId="77777777" w:rsidR="00185591" w:rsidRPr="00890082" w:rsidRDefault="00185591" w:rsidP="00890082">
      <w:pPr>
        <w:pStyle w:val="Ttulo2"/>
        <w:spacing w:line="240" w:lineRule="auto"/>
        <w:rPr>
          <w:rFonts w:ascii="Arial" w:hAnsi="Arial" w:cs="Arial"/>
          <w:b/>
          <w:color w:val="auto"/>
          <w:sz w:val="20"/>
          <w:szCs w:val="20"/>
        </w:rPr>
      </w:pPr>
      <w:bookmarkStart w:id="30" w:name="_Toc526939492"/>
      <w:bookmarkStart w:id="31" w:name="_Toc526939570"/>
      <w:r w:rsidRPr="00890082">
        <w:rPr>
          <w:rFonts w:ascii="Arial" w:hAnsi="Arial" w:cs="Arial"/>
          <w:b/>
          <w:color w:val="auto"/>
          <w:sz w:val="20"/>
          <w:szCs w:val="20"/>
        </w:rPr>
        <w:t>16. Partes Relacionadas:</w:t>
      </w:r>
      <w:bookmarkEnd w:id="30"/>
      <w:bookmarkEnd w:id="31"/>
    </w:p>
    <w:p w14:paraId="4CFF210D"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debe establecer por escrito que no existen partes relacionadas que pudieran ejercer influencia significativa sobre la toma de decisiones financieras y operativas:</w:t>
      </w:r>
    </w:p>
    <w:p w14:paraId="72A3D0AD"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1897EB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62CE6A9F" w14:textId="77777777" w:rsidR="00185591" w:rsidRPr="00890082" w:rsidRDefault="00185591" w:rsidP="00890082">
      <w:pPr>
        <w:pStyle w:val="Ttulo2"/>
        <w:spacing w:line="240" w:lineRule="auto"/>
        <w:rPr>
          <w:rFonts w:ascii="Arial" w:hAnsi="Arial" w:cs="Arial"/>
          <w:b/>
          <w:color w:val="auto"/>
          <w:sz w:val="20"/>
          <w:szCs w:val="20"/>
        </w:rPr>
      </w:pPr>
      <w:bookmarkStart w:id="32" w:name="_Toc526939493"/>
      <w:bookmarkStart w:id="33" w:name="_Toc526939571"/>
      <w:r w:rsidRPr="00890082">
        <w:rPr>
          <w:rFonts w:ascii="Arial" w:hAnsi="Arial" w:cs="Arial"/>
          <w:b/>
          <w:color w:val="auto"/>
          <w:sz w:val="20"/>
          <w:szCs w:val="20"/>
        </w:rPr>
        <w:t>17. Responsabilidad Sobre la Presentación Razonable de la Información Contable:</w:t>
      </w:r>
      <w:bookmarkEnd w:id="32"/>
      <w:bookmarkEnd w:id="33"/>
    </w:p>
    <w:p w14:paraId="7C1B233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 xml:space="preserve">La Información Contable está firmada en cada página de la misma y se incluye al final la siguiente leyenda: </w:t>
      </w:r>
    </w:p>
    <w:p w14:paraId="382273A2"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“Bajo protesta de decir verdad declaramos que los Estados Financieros y sus notas, son razonablemente correctos y son responsabilidad del emisor”. Lo anterior, no es aplicable para la información contable consolidada.</w:t>
      </w:r>
    </w:p>
    <w:p w14:paraId="1CBADD81" w14:textId="77777777" w:rsidR="00185591" w:rsidRPr="00890082" w:rsidRDefault="00185591" w:rsidP="00890082">
      <w:pPr>
        <w:pBdr>
          <w:bottom w:val="single" w:sz="12" w:space="1" w:color="auto"/>
        </w:pBdr>
        <w:tabs>
          <w:tab w:val="left" w:leader="underscore" w:pos="9639"/>
        </w:tabs>
        <w:spacing w:after="0" w:line="240" w:lineRule="auto"/>
        <w:jc w:val="both"/>
        <w:rPr>
          <w:rFonts w:ascii="Arial" w:hAnsi="Arial" w:cs="Arial"/>
          <w:sz w:val="20"/>
          <w:szCs w:val="20"/>
        </w:rPr>
      </w:pPr>
    </w:p>
    <w:p w14:paraId="1E48E2B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Nota 1</w:t>
      </w:r>
      <w:r w:rsidRPr="00890082">
        <w:rPr>
          <w:rFonts w:ascii="Arial" w:hAnsi="Arial" w:cs="Arial"/>
          <w:sz w:val="20"/>
          <w:szCs w:val="20"/>
        </w:rPr>
        <w:t>: En cada una de las 16 notas de gestión administrativa el ente público deberá poner la nota correspondiente o en su caso la leyenda “Esta nota no le aplica al ente público” y una breve explicación del motivo por el cual no le es aplicable.</w:t>
      </w:r>
    </w:p>
    <w:p w14:paraId="6D2E6E7A" w14:textId="541F1C72" w:rsidR="00185591" w:rsidRPr="00890082" w:rsidRDefault="00185591" w:rsidP="00890082">
      <w:pPr>
        <w:pBdr>
          <w:bottom w:val="single" w:sz="12" w:space="1" w:color="auto"/>
        </w:pBdr>
        <w:tabs>
          <w:tab w:val="left" w:leader="underscore" w:pos="9639"/>
        </w:tabs>
        <w:spacing w:after="0" w:line="240" w:lineRule="auto"/>
        <w:jc w:val="both"/>
        <w:rPr>
          <w:rFonts w:ascii="Arial" w:hAnsi="Arial" w:cs="Arial"/>
          <w:sz w:val="20"/>
          <w:szCs w:val="20"/>
        </w:rPr>
      </w:pPr>
      <w:bookmarkStart w:id="34" w:name="_GoBack"/>
      <w:bookmarkEnd w:id="34"/>
    </w:p>
    <w:sectPr w:rsidR="00185591" w:rsidRPr="00890082" w:rsidSect="002E23D2">
      <w:footerReference w:type="default" r:id="rId13"/>
      <w:pgSz w:w="12240" w:h="15840" w:code="1"/>
      <w:pgMar w:top="1077" w:right="1077" w:bottom="1077" w:left="1531"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49FB64" w14:textId="77777777" w:rsidR="00B43151" w:rsidRDefault="00B43151" w:rsidP="00E00323">
      <w:pPr>
        <w:spacing w:after="0" w:line="240" w:lineRule="auto"/>
      </w:pPr>
      <w:r>
        <w:separator/>
      </w:r>
    </w:p>
  </w:endnote>
  <w:endnote w:type="continuationSeparator" w:id="0">
    <w:p w14:paraId="27AEF965" w14:textId="77777777" w:rsidR="00B43151" w:rsidRDefault="00B43151" w:rsidP="00E0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1378E" w14:textId="3744CBB7" w:rsidR="0012405A" w:rsidRDefault="0012405A">
    <w:pPr>
      <w:pStyle w:val="Piedepgina"/>
      <w:jc w:val="right"/>
    </w:pPr>
  </w:p>
  <w:p w14:paraId="37983FFD" w14:textId="77777777" w:rsidR="0012405A" w:rsidRDefault="0012405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041AB3" w14:textId="77777777" w:rsidR="00B43151" w:rsidRDefault="00B43151" w:rsidP="00E00323">
      <w:pPr>
        <w:spacing w:after="0" w:line="240" w:lineRule="auto"/>
      </w:pPr>
      <w:r>
        <w:separator/>
      </w:r>
    </w:p>
  </w:footnote>
  <w:footnote w:type="continuationSeparator" w:id="0">
    <w:p w14:paraId="0FF4830C" w14:textId="77777777" w:rsidR="00B43151" w:rsidRDefault="00B43151" w:rsidP="00E003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7452DF2"/>
    <w:multiLevelType w:val="hybridMultilevel"/>
    <w:tmpl w:val="BA9EEBD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76"/>
    <w:rsid w:val="00040D4F"/>
    <w:rsid w:val="00052573"/>
    <w:rsid w:val="00084EAE"/>
    <w:rsid w:val="00091CE6"/>
    <w:rsid w:val="000B7810"/>
    <w:rsid w:val="000C3365"/>
    <w:rsid w:val="000E472D"/>
    <w:rsid w:val="000E77A0"/>
    <w:rsid w:val="0012405A"/>
    <w:rsid w:val="001533DF"/>
    <w:rsid w:val="00154BA3"/>
    <w:rsid w:val="00185591"/>
    <w:rsid w:val="001973A2"/>
    <w:rsid w:val="001C75F2"/>
    <w:rsid w:val="001D2063"/>
    <w:rsid w:val="001D43E9"/>
    <w:rsid w:val="002E23D2"/>
    <w:rsid w:val="002E23E6"/>
    <w:rsid w:val="00332D18"/>
    <w:rsid w:val="003453CA"/>
    <w:rsid w:val="00424624"/>
    <w:rsid w:val="00435A87"/>
    <w:rsid w:val="004A15DA"/>
    <w:rsid w:val="004A58C8"/>
    <w:rsid w:val="00500ADA"/>
    <w:rsid w:val="0054701E"/>
    <w:rsid w:val="005D3E43"/>
    <w:rsid w:val="005E231E"/>
    <w:rsid w:val="00657009"/>
    <w:rsid w:val="00660A7D"/>
    <w:rsid w:val="00681C79"/>
    <w:rsid w:val="0071669F"/>
    <w:rsid w:val="00746E6C"/>
    <w:rsid w:val="00756578"/>
    <w:rsid w:val="007610BC"/>
    <w:rsid w:val="007714AB"/>
    <w:rsid w:val="007D1E76"/>
    <w:rsid w:val="007D4484"/>
    <w:rsid w:val="0086459F"/>
    <w:rsid w:val="00890082"/>
    <w:rsid w:val="008C3BB8"/>
    <w:rsid w:val="008E076C"/>
    <w:rsid w:val="008F06BD"/>
    <w:rsid w:val="0092765C"/>
    <w:rsid w:val="00996E86"/>
    <w:rsid w:val="009A4D8E"/>
    <w:rsid w:val="009E11B6"/>
    <w:rsid w:val="00A4610E"/>
    <w:rsid w:val="00A730E0"/>
    <w:rsid w:val="00AA41E5"/>
    <w:rsid w:val="00AB722B"/>
    <w:rsid w:val="00AC1541"/>
    <w:rsid w:val="00AE1F6A"/>
    <w:rsid w:val="00B317E0"/>
    <w:rsid w:val="00B43151"/>
    <w:rsid w:val="00B47798"/>
    <w:rsid w:val="00C97E1E"/>
    <w:rsid w:val="00CB41C4"/>
    <w:rsid w:val="00CB5B0B"/>
    <w:rsid w:val="00CF1316"/>
    <w:rsid w:val="00D05899"/>
    <w:rsid w:val="00D13C44"/>
    <w:rsid w:val="00D975B1"/>
    <w:rsid w:val="00DE4889"/>
    <w:rsid w:val="00E00323"/>
    <w:rsid w:val="00E74967"/>
    <w:rsid w:val="00EA37F5"/>
    <w:rsid w:val="00EA7915"/>
    <w:rsid w:val="00EB1169"/>
    <w:rsid w:val="00EC7363"/>
    <w:rsid w:val="00F46719"/>
    <w:rsid w:val="00F54F6F"/>
    <w:rsid w:val="00FE24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7DA28"/>
  <w15:chartTrackingRefBased/>
  <w15:docId w15:val="{23FE9072-35B7-45F9-8FCE-9AFD1097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E76"/>
    <w:pPr>
      <w:spacing w:after="200" w:line="276" w:lineRule="auto"/>
    </w:pPr>
    <w:rPr>
      <w:sz w:val="22"/>
      <w:szCs w:val="22"/>
      <w:lang w:eastAsia="en-US"/>
    </w:rPr>
  </w:style>
  <w:style w:type="paragraph" w:styleId="Ttulo1">
    <w:name w:val="heading 1"/>
    <w:basedOn w:val="Normal"/>
    <w:next w:val="Normal"/>
    <w:link w:val="Ttulo1Car"/>
    <w:uiPriority w:val="9"/>
    <w:qFormat/>
    <w:rsid w:val="00F467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C33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E76"/>
    <w:pPr>
      <w:ind w:left="720"/>
      <w:contextualSpacing/>
    </w:pPr>
  </w:style>
  <w:style w:type="character" w:styleId="Hipervnculo">
    <w:name w:val="Hyperlink"/>
    <w:uiPriority w:val="99"/>
    <w:unhideWhenUsed/>
    <w:rsid w:val="007D1E76"/>
    <w:rPr>
      <w:color w:val="0000FF"/>
      <w:u w:val="single"/>
    </w:rPr>
  </w:style>
  <w:style w:type="paragraph" w:styleId="Encabezado">
    <w:name w:val="header"/>
    <w:basedOn w:val="Normal"/>
    <w:link w:val="EncabezadoCar"/>
    <w:uiPriority w:val="99"/>
    <w:unhideWhenUsed/>
    <w:rsid w:val="00E00323"/>
    <w:pPr>
      <w:tabs>
        <w:tab w:val="center" w:pos="4419"/>
        <w:tab w:val="right" w:pos="8838"/>
      </w:tabs>
    </w:pPr>
  </w:style>
  <w:style w:type="character" w:customStyle="1" w:styleId="EncabezadoCar">
    <w:name w:val="Encabezado Car"/>
    <w:link w:val="Encabezado"/>
    <w:uiPriority w:val="99"/>
    <w:rsid w:val="00E00323"/>
    <w:rPr>
      <w:sz w:val="22"/>
      <w:szCs w:val="22"/>
      <w:lang w:eastAsia="en-US"/>
    </w:rPr>
  </w:style>
  <w:style w:type="paragraph" w:styleId="Piedepgina">
    <w:name w:val="footer"/>
    <w:basedOn w:val="Normal"/>
    <w:link w:val="PiedepginaCar"/>
    <w:uiPriority w:val="99"/>
    <w:unhideWhenUsed/>
    <w:rsid w:val="00E00323"/>
    <w:pPr>
      <w:tabs>
        <w:tab w:val="center" w:pos="4419"/>
        <w:tab w:val="right" w:pos="8838"/>
      </w:tabs>
    </w:pPr>
  </w:style>
  <w:style w:type="character" w:customStyle="1" w:styleId="PiedepginaCar">
    <w:name w:val="Pie de página Car"/>
    <w:link w:val="Piedepgina"/>
    <w:uiPriority w:val="99"/>
    <w:rsid w:val="00E00323"/>
    <w:rPr>
      <w:sz w:val="22"/>
      <w:szCs w:val="22"/>
      <w:lang w:eastAsia="en-US"/>
    </w:rPr>
  </w:style>
  <w:style w:type="paragraph" w:styleId="Textodeglobo">
    <w:name w:val="Balloon Text"/>
    <w:basedOn w:val="Normal"/>
    <w:link w:val="TextodegloboCar"/>
    <w:uiPriority w:val="99"/>
    <w:semiHidden/>
    <w:unhideWhenUsed/>
    <w:rsid w:val="00E003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0323"/>
    <w:rPr>
      <w:rFonts w:ascii="Tahoma" w:hAnsi="Tahoma" w:cs="Tahoma"/>
      <w:sz w:val="16"/>
      <w:szCs w:val="16"/>
      <w:lang w:eastAsia="en-US"/>
    </w:rPr>
  </w:style>
  <w:style w:type="paragraph" w:styleId="NormalWeb">
    <w:name w:val="Normal (Web)"/>
    <w:basedOn w:val="Normal"/>
    <w:uiPriority w:val="99"/>
    <w:unhideWhenUsed/>
    <w:rsid w:val="00E00323"/>
    <w:pPr>
      <w:spacing w:before="100" w:beforeAutospacing="1" w:after="100" w:afterAutospacing="1" w:line="240" w:lineRule="auto"/>
    </w:pPr>
    <w:rPr>
      <w:rFonts w:ascii="Times New Roman" w:eastAsia="Times New Roman" w:hAnsi="Times New Roman"/>
      <w:sz w:val="24"/>
      <w:szCs w:val="24"/>
      <w:lang w:eastAsia="es-MX"/>
    </w:rPr>
  </w:style>
  <w:style w:type="paragraph" w:styleId="Ttulo">
    <w:name w:val="Title"/>
    <w:basedOn w:val="Normal"/>
    <w:next w:val="Normal"/>
    <w:link w:val="TtuloCar"/>
    <w:uiPriority w:val="10"/>
    <w:qFormat/>
    <w:rsid w:val="00AA41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41E5"/>
    <w:rPr>
      <w:rFonts w:asciiTheme="majorHAnsi" w:eastAsiaTheme="majorEastAsia" w:hAnsiTheme="majorHAnsi" w:cstheme="majorBidi"/>
      <w:spacing w:val="-10"/>
      <w:kern w:val="28"/>
      <w:sz w:val="56"/>
      <w:szCs w:val="56"/>
      <w:lang w:eastAsia="en-US"/>
    </w:rPr>
  </w:style>
  <w:style w:type="table" w:styleId="Tablaconcuadrcula">
    <w:name w:val="Table Grid"/>
    <w:basedOn w:val="Tablanormal"/>
    <w:uiPriority w:val="59"/>
    <w:rsid w:val="00345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C3365"/>
    <w:rPr>
      <w:rFonts w:asciiTheme="majorHAnsi" w:eastAsiaTheme="majorEastAsia" w:hAnsiTheme="majorHAnsi" w:cstheme="majorBidi"/>
      <w:color w:val="2E74B5" w:themeColor="accent1" w:themeShade="BF"/>
      <w:sz w:val="26"/>
      <w:szCs w:val="26"/>
      <w:lang w:eastAsia="en-US"/>
    </w:rPr>
  </w:style>
  <w:style w:type="character" w:customStyle="1" w:styleId="Ttulo1Car">
    <w:name w:val="Título 1 Car"/>
    <w:basedOn w:val="Fuentedeprrafopredeter"/>
    <w:link w:val="Ttulo1"/>
    <w:uiPriority w:val="9"/>
    <w:rsid w:val="00F46719"/>
    <w:rPr>
      <w:rFonts w:asciiTheme="majorHAnsi" w:eastAsiaTheme="majorEastAsia" w:hAnsiTheme="majorHAnsi" w:cstheme="majorBidi"/>
      <w:color w:val="2E74B5" w:themeColor="accent1" w:themeShade="BF"/>
      <w:sz w:val="32"/>
      <w:szCs w:val="32"/>
      <w:lang w:eastAsia="en-US"/>
    </w:rPr>
  </w:style>
  <w:style w:type="paragraph" w:styleId="TtuloTDC">
    <w:name w:val="TOC Heading"/>
    <w:basedOn w:val="Ttulo1"/>
    <w:next w:val="Normal"/>
    <w:uiPriority w:val="39"/>
    <w:unhideWhenUsed/>
    <w:qFormat/>
    <w:rsid w:val="00F46719"/>
    <w:pPr>
      <w:spacing w:line="259" w:lineRule="auto"/>
      <w:outlineLvl w:val="9"/>
    </w:pPr>
    <w:rPr>
      <w:lang w:eastAsia="es-MX"/>
    </w:rPr>
  </w:style>
  <w:style w:type="paragraph" w:styleId="TDC2">
    <w:name w:val="toc 2"/>
    <w:basedOn w:val="Normal"/>
    <w:next w:val="Normal"/>
    <w:autoRedefine/>
    <w:uiPriority w:val="39"/>
    <w:unhideWhenUsed/>
    <w:rsid w:val="00B317E0"/>
    <w:pPr>
      <w:tabs>
        <w:tab w:val="right" w:leader="dot" w:pos="9678"/>
      </w:tabs>
      <w:spacing w:after="100"/>
      <w:ind w:left="22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acorona/lquiroz/AppData/Local/Microsoft/Windows/Temporary%20Internet%20Files/Content.Outlook/HBGSO9P3/MODELO%20CTA%202013.pptx"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A877482073C494DB65515C3369AA0B4" ma:contentTypeVersion="0" ma:contentTypeDescription="Crear nuevo documento." ma:contentTypeScope="" ma:versionID="d630b5c2871309c5c86f0b7bf850b824">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04BFA-FE99-416E-B427-D59C115C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602599E-C54E-40EB-B3BD-41B2F70A96F3}">
  <ds:schemaRefs>
    <ds:schemaRef ds:uri="http://schemas.microsoft.com/sharepoint/v3/contenttype/forms"/>
  </ds:schemaRefs>
</ds:datastoreItem>
</file>

<file path=customXml/itemProps3.xml><?xml version="1.0" encoding="utf-8"?>
<ds:datastoreItem xmlns:ds="http://schemas.openxmlformats.org/officeDocument/2006/customXml" ds:itemID="{E1CBD850-722C-4B0A-8EDE-7CABA60C70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9CE7AF4-08B8-4359-A837-9E2EF89AA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1778</Words>
  <Characters>9779</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11534</CharactersWithSpaces>
  <SharedDoc>false</SharedDoc>
  <HLinks>
    <vt:vector size="6" baseType="variant">
      <vt:variant>
        <vt:i4>6357108</vt:i4>
      </vt:variant>
      <vt:variant>
        <vt:i4>0</vt:i4>
      </vt:variant>
      <vt:variant>
        <vt:i4>0</vt:i4>
      </vt:variant>
      <vt:variant>
        <vt:i4>5</vt:i4>
      </vt:variant>
      <vt:variant>
        <vt:lpwstr>../../../../../../../../lquiroz/AppData/Local/Microsoft/Windows/Temporary Internet Files/Content.Outlook/HBGSO9P3/MODELO CTA 2013.pptx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acorona</dc:creator>
  <cp:keywords/>
  <cp:lastModifiedBy>Montserrat Quijas Gomez</cp:lastModifiedBy>
  <cp:revision>10</cp:revision>
  <dcterms:created xsi:type="dcterms:W3CDTF">2020-01-17T21:25:00Z</dcterms:created>
  <dcterms:modified xsi:type="dcterms:W3CDTF">2020-01-30T20:04:00Z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0x010100EA877482073C494DB65515C3369AA0B4</vt:lpwstr>
  </property>
</Properties>
</file>