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A681" w14:textId="77777777" w:rsidR="00F87808" w:rsidRDefault="00F87808" w:rsidP="00F87808">
      <w:r>
        <w:t xml:space="preserve">Dr. Sewell here. Welcome to D205 SQL for Data Analytics here is the presentation.  By the way, a </w:t>
      </w:r>
      <w:proofErr w:type="spellStart"/>
      <w:r>
        <w:t>medical_data</w:t>
      </w:r>
      <w:proofErr w:type="spellEnd"/>
      <w:r>
        <w:t xml:space="preserve"> database and related files have been added. The same rules still apply. You must create a table and load data from one of the files into your newly created table and then come up with a research question.</w:t>
      </w:r>
    </w:p>
    <w:p w14:paraId="1A458F23" w14:textId="77777777" w:rsidR="00F87808" w:rsidRDefault="00F87808" w:rsidP="00F87808"/>
    <w:p w14:paraId="7990F752" w14:textId="77777777" w:rsidR="00F87808" w:rsidRDefault="00F87808" w:rsidP="00F87808">
      <w:r>
        <w:t xml:space="preserve">So, either the churn database or the </w:t>
      </w:r>
      <w:proofErr w:type="spellStart"/>
      <w:r>
        <w:t>medical_data</w:t>
      </w:r>
      <w:proofErr w:type="spellEnd"/>
      <w:r>
        <w:t xml:space="preserve"> database, the choice is yours! Follow my video presentation below for an example on how to create and load a table using pgAdmin as well as how to create an ERD (logical data model) with only two mouse clicks!</w:t>
      </w:r>
    </w:p>
    <w:p w14:paraId="496CFB2D" w14:textId="77777777" w:rsidR="00F87808" w:rsidRDefault="00F87808" w:rsidP="00F87808"/>
    <w:p w14:paraId="74ECC6E2" w14:textId="77777777" w:rsidR="00F87808" w:rsidRDefault="00F87808" w:rsidP="00F87808">
      <w:r>
        <w:t>You are invited to attend the SQL Sunday webinars. The invitation is on slide two. Remember to join me live on the first three Sundays each month at 6:30pm Eastern for SQL Sunday when you can not only watch the presentation but also get answers to your questions.</w:t>
      </w:r>
    </w:p>
    <w:p w14:paraId="3A96CEA1" w14:textId="77777777" w:rsidR="00F87808" w:rsidRDefault="00F87808" w:rsidP="00F87808"/>
    <w:p w14:paraId="4681BA26" w14:textId="77777777" w:rsidR="00F87808" w:rsidRDefault="00F87808" w:rsidP="00F87808">
      <w:r>
        <w:t xml:space="preserve">Monthly SQL Sunday </w:t>
      </w:r>
      <w:hyperlink r:id="rId4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D205 Video</w:t>
        </w:r>
      </w:hyperlink>
    </w:p>
    <w:p w14:paraId="79CF1E77" w14:textId="77777777" w:rsidR="00F87808" w:rsidRDefault="00F87808" w:rsidP="00F87808">
      <w:pPr>
        <w:rPr>
          <w:rStyle w:val="Hyperlink"/>
          <w:rFonts w:ascii="Segoe UI" w:hAnsi="Segoe UI" w:cs="Segoe UI"/>
          <w:sz w:val="20"/>
          <w:szCs w:val="20"/>
        </w:rPr>
      </w:pPr>
      <w:hyperlink r:id="rId5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SQL Sunday Powerpoint Slides</w:t>
        </w:r>
      </w:hyperlink>
    </w:p>
    <w:p w14:paraId="1DA8905B" w14:textId="77777777" w:rsidR="00F87808" w:rsidRDefault="00F87808" w:rsidP="00F87808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407C02A8" w14:textId="77777777" w:rsidR="00826C0A" w:rsidRDefault="00826C0A" w:rsidP="00826C0A">
      <w:r>
        <w:t xml:space="preserve">Here are  the </w:t>
      </w:r>
      <w:hyperlink r:id="rId6" w:history="1">
        <w:r w:rsidRPr="0013114D">
          <w:rPr>
            <w:rStyle w:val="Hyperlink"/>
          </w:rPr>
          <w:t>D205 Webinar- Database Queries and Joins Video</w:t>
        </w:r>
      </w:hyperlink>
      <w:r>
        <w:t xml:space="preserve"> and </w:t>
      </w:r>
      <w:hyperlink r:id="rId7" w:history="1">
        <w:r>
          <w:rPr>
            <w:rStyle w:val="SmartLink"/>
          </w:rPr>
          <w:t>Database Queries PowerPoints</w:t>
        </w:r>
      </w:hyperlink>
      <w:r>
        <w:t xml:space="preserve">. Two-table and three-table joins are presented in pgAdmin and db-fiddle.com.  We discuss seven types of joins including INNER, OUTER, JOIN USING, NATURAL JOIN and CROSS JOINs. We also discuss the group by clause: when to use it and when not to.  We also discuss the course and resources. </w:t>
      </w:r>
    </w:p>
    <w:p w14:paraId="707EC836" w14:textId="77777777" w:rsidR="00826C0A" w:rsidRDefault="00826C0A" w:rsidP="00826C0A"/>
    <w:p w14:paraId="4AD3B002" w14:textId="77777777" w:rsidR="00826C0A" w:rsidRDefault="00826C0A" w:rsidP="00826C0A">
      <w:r>
        <w:t>Regards,</w:t>
      </w:r>
    </w:p>
    <w:p w14:paraId="36142840" w14:textId="77777777" w:rsidR="00826C0A" w:rsidRDefault="00826C0A" w:rsidP="00826C0A">
      <w:pPr>
        <w:spacing w:before="100" w:beforeAutospacing="1" w:after="100" w:afterAutospacing="1"/>
        <w:contextualSpacing/>
        <w:rPr>
          <w:rFonts w:eastAsiaTheme="minorEastAsia"/>
          <w:noProof/>
        </w:rPr>
      </w:pPr>
      <w:r>
        <w:rPr>
          <w:rFonts w:ascii="Arial" w:eastAsiaTheme="minorEastAsia" w:hAnsi="Arial" w:cs="Arial"/>
          <w:b/>
          <w:bCs/>
          <w:noProof/>
          <w:color w:val="002F51"/>
          <w:sz w:val="20"/>
          <w:szCs w:val="20"/>
          <w:shd w:val="clear" w:color="auto" w:fill="FFFFFF"/>
        </w:rPr>
        <w:t>Dr. William Sewell</w:t>
      </w:r>
    </w:p>
    <w:p w14:paraId="3E58EBD4" w14:textId="77777777" w:rsidR="00826C0A" w:rsidRDefault="00826C0A" w:rsidP="00826C0A">
      <w:pPr>
        <w:shd w:val="clear" w:color="auto" w:fill="FFFFFF"/>
        <w:contextualSpacing/>
        <w:rPr>
          <w:rFonts w:ascii="Arial" w:eastAsiaTheme="minorEastAsia" w:hAnsi="Arial" w:cs="Arial"/>
          <w:noProof/>
          <w:color w:val="003057"/>
          <w:sz w:val="20"/>
          <w:szCs w:val="20"/>
        </w:rPr>
      </w:pPr>
      <w:r>
        <w:rPr>
          <w:rFonts w:ascii="Arial" w:eastAsiaTheme="minorEastAsia" w:hAnsi="Arial" w:cs="Arial"/>
          <w:noProof/>
          <w:color w:val="003057"/>
          <w:sz w:val="20"/>
          <w:szCs w:val="20"/>
        </w:rPr>
        <w:t>Course Instructor</w:t>
      </w:r>
    </w:p>
    <w:p w14:paraId="745BEFEA" w14:textId="77777777" w:rsidR="00826C0A" w:rsidRDefault="00826C0A" w:rsidP="00826C0A">
      <w:pPr>
        <w:shd w:val="clear" w:color="auto" w:fill="FFFFFF"/>
        <w:contextualSpacing/>
        <w:rPr>
          <w:rFonts w:ascii="Calibri" w:eastAsiaTheme="minorEastAsia" w:hAnsi="Calibri" w:cs="Calibri"/>
          <w:noProof/>
        </w:rPr>
      </w:pPr>
      <w:r>
        <w:rPr>
          <w:rFonts w:ascii="Arial" w:eastAsiaTheme="minorEastAsia" w:hAnsi="Arial" w:cs="Arial"/>
          <w:noProof/>
          <w:color w:val="003057"/>
          <w:sz w:val="20"/>
          <w:szCs w:val="20"/>
        </w:rPr>
        <w:t>College of Information Technology</w:t>
      </w:r>
    </w:p>
    <w:p w14:paraId="060FE44A" w14:textId="77777777" w:rsidR="00826C0A" w:rsidRDefault="00826C0A" w:rsidP="00826C0A">
      <w:pPr>
        <w:shd w:val="clear" w:color="auto" w:fill="FFFFFF"/>
        <w:contextualSpacing/>
        <w:rPr>
          <w:rFonts w:ascii="Arial" w:eastAsiaTheme="minorEastAsia" w:hAnsi="Arial" w:cs="Arial"/>
          <w:b/>
          <w:bCs/>
          <w:noProof/>
          <w:color w:val="327DA9"/>
          <w:sz w:val="20"/>
          <w:szCs w:val="20"/>
        </w:rPr>
      </w:pPr>
      <w:r>
        <w:rPr>
          <w:rFonts w:eastAsiaTheme="minorEastAsia"/>
          <w:noProof/>
          <w:color w:val="000000"/>
          <w:sz w:val="20"/>
          <w:szCs w:val="20"/>
        </w:rPr>
        <w:t> </w:t>
      </w:r>
      <w:r>
        <w:rPr>
          <w:rFonts w:ascii="Arial" w:eastAsiaTheme="minorEastAsia" w:hAnsi="Arial" w:cs="Arial"/>
          <w:b/>
          <w:bCs/>
          <w:noProof/>
          <w:color w:val="327DA9"/>
          <w:sz w:val="20"/>
          <w:szCs w:val="20"/>
        </w:rPr>
        <w:t>Western Governors University</w:t>
      </w:r>
    </w:p>
    <w:p w14:paraId="2AB59D29" w14:textId="77777777" w:rsidR="00826C0A" w:rsidRDefault="00826C0A" w:rsidP="00826C0A">
      <w:pPr>
        <w:contextualSpacing/>
        <w:rPr>
          <w:rFonts w:ascii="Arial" w:eastAsiaTheme="minorEastAsia" w:hAnsi="Arial" w:cs="Arial"/>
          <w:noProof/>
          <w:color w:val="636669"/>
          <w:sz w:val="20"/>
          <w:szCs w:val="20"/>
        </w:rPr>
      </w:pPr>
      <w:r>
        <w:rPr>
          <w:rFonts w:ascii="Arial" w:eastAsiaTheme="minorEastAsia" w:hAnsi="Arial" w:cs="Arial"/>
          <w:noProof/>
          <w:color w:val="636669"/>
          <w:sz w:val="20"/>
          <w:szCs w:val="20"/>
        </w:rPr>
        <w:t xml:space="preserve">877-435-7948 ext 5377 </w:t>
      </w:r>
    </w:p>
    <w:p w14:paraId="145B032A" w14:textId="77777777" w:rsidR="00826C0A" w:rsidRDefault="00826C0A" w:rsidP="00826C0A">
      <w:pPr>
        <w:contextualSpacing/>
        <w:rPr>
          <w:rFonts w:eastAsiaTheme="minorEastAsia"/>
          <w:noProof/>
        </w:rPr>
      </w:pPr>
      <w:r>
        <w:rPr>
          <w:rFonts w:ascii="Arial" w:eastAsiaTheme="minorEastAsia" w:hAnsi="Arial" w:cs="Arial"/>
          <w:noProof/>
          <w:color w:val="636669"/>
          <w:sz w:val="20"/>
          <w:szCs w:val="20"/>
        </w:rPr>
        <w:t xml:space="preserve">Text me at: 954-802-2225 </w:t>
      </w:r>
    </w:p>
    <w:p w14:paraId="029530DD" w14:textId="77777777" w:rsidR="00826C0A" w:rsidRDefault="00826C0A" w:rsidP="00826C0A">
      <w:pPr>
        <w:contextualSpacing/>
        <w:rPr>
          <w:rFonts w:eastAsiaTheme="minorEastAsia"/>
          <w:noProof/>
          <w:color w:val="636669"/>
        </w:rPr>
      </w:pPr>
      <w:r>
        <w:rPr>
          <w:rFonts w:ascii="Arial" w:eastAsiaTheme="minorEastAsia" w:hAnsi="Arial" w:cs="Arial"/>
          <w:noProof/>
          <w:color w:val="636669"/>
          <w:sz w:val="20"/>
          <w:szCs w:val="20"/>
        </w:rPr>
        <w:t>4001 South 700 East, Suite 700</w:t>
      </w:r>
    </w:p>
    <w:p w14:paraId="30803027" w14:textId="77777777" w:rsidR="00826C0A" w:rsidRDefault="00826C0A" w:rsidP="00826C0A">
      <w:pPr>
        <w:contextualSpacing/>
        <w:rPr>
          <w:rFonts w:eastAsiaTheme="minorEastAsia"/>
          <w:noProof/>
        </w:rPr>
      </w:pPr>
      <w:r>
        <w:rPr>
          <w:rFonts w:ascii="Arial" w:eastAsiaTheme="minorEastAsia" w:hAnsi="Arial" w:cs="Arial"/>
          <w:noProof/>
          <w:color w:val="636669"/>
          <w:sz w:val="20"/>
          <w:szCs w:val="20"/>
        </w:rPr>
        <w:t>Salt Lake City, UT 84107</w:t>
      </w:r>
    </w:p>
    <w:p w14:paraId="40C425E8" w14:textId="77777777" w:rsidR="00826C0A" w:rsidRDefault="00826C0A" w:rsidP="00826C0A">
      <w:pPr>
        <w:contextualSpacing/>
        <w:rPr>
          <w:rFonts w:eastAsiaTheme="minorEastAsia"/>
          <w:noProof/>
        </w:rPr>
      </w:pPr>
      <w:hyperlink r:id="rId8" w:history="1">
        <w:r>
          <w:rPr>
            <w:rStyle w:val="Hyperlink"/>
            <w:rFonts w:ascii="Arial" w:eastAsiaTheme="minorEastAsia" w:hAnsi="Arial" w:cs="Arial"/>
            <w:noProof/>
            <w:sz w:val="20"/>
            <w:szCs w:val="20"/>
          </w:rPr>
          <w:t>william.sewell@wgu.edu</w:t>
        </w:r>
      </w:hyperlink>
    </w:p>
    <w:p w14:paraId="3FEF08AD" w14:textId="77777777" w:rsidR="00826C0A" w:rsidRDefault="00826C0A" w:rsidP="00826C0A">
      <w:pPr>
        <w:contextualSpacing/>
        <w:rPr>
          <w:rFonts w:eastAsiaTheme="minorEastAsia"/>
          <w:noProof/>
          <w:color w:val="000000"/>
          <w:sz w:val="20"/>
          <w:szCs w:val="20"/>
        </w:rPr>
      </w:pPr>
      <w:r>
        <w:rPr>
          <w:rFonts w:eastAsiaTheme="minorEastAsia"/>
          <w:noProof/>
          <w:color w:val="000000"/>
          <w:sz w:val="20"/>
          <w:szCs w:val="20"/>
        </w:rPr>
        <w:t> </w:t>
      </w:r>
      <w:hyperlink r:id="rId9" w:history="1">
        <w:r>
          <w:rPr>
            <w:rStyle w:val="Hyperlink"/>
            <w:rFonts w:eastAsiaTheme="minorEastAsia"/>
            <w:noProof/>
            <w:sz w:val="20"/>
            <w:szCs w:val="20"/>
          </w:rPr>
          <w:t>Appointments</w:t>
        </w:r>
      </w:hyperlink>
    </w:p>
    <w:p w14:paraId="502CB50E" w14:textId="77777777" w:rsidR="00826C0A" w:rsidRDefault="00826C0A" w:rsidP="00826C0A"/>
    <w:p w14:paraId="63E4AC81" w14:textId="77777777" w:rsidR="00BA56ED" w:rsidRDefault="00BA56ED"/>
    <w:sectPr w:rsidR="00BA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ED"/>
    <w:rsid w:val="00826C0A"/>
    <w:rsid w:val="00962D72"/>
    <w:rsid w:val="00BA56ED"/>
    <w:rsid w:val="00F8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C2E"/>
  <w15:chartTrackingRefBased/>
  <w15:docId w15:val="{9FCB5AE4-449D-4DE0-ACB9-8806DD19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0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C0A"/>
    <w:rPr>
      <w:color w:val="0563C1" w:themeColor="hyperlink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826C0A"/>
    <w:rPr>
      <w:color w:val="0000FF"/>
      <w:u w:val="single"/>
      <w:shd w:val="clear" w:color="auto" w:fill="F3F2F1"/>
    </w:rPr>
  </w:style>
  <w:style w:type="paragraph" w:styleId="NormalWeb">
    <w:name w:val="Normal (Web)"/>
    <w:basedOn w:val="Normal"/>
    <w:uiPriority w:val="99"/>
    <w:semiHidden/>
    <w:unhideWhenUsed/>
    <w:rsid w:val="00F87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.sewell@wg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sterngovernorsuniversity-my.sharepoint.com/:p:/g/personal/william_sewell_wgu_edu/Ec-IbYnatOVCv4EO6nymwN8BeXhIaWE0d-eteroQxfr_rA?e=OdYlf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gu.webex.com/webappng/sites/wgu/recording/5028e902ead5103bb7a700505681e3f4/playb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sterngovernorsuniversity-my.sharepoint.com/:p:/g/personal/william_sewell_wgu_edu/EZvWh7S_6K9HnjS1yDoRXhQBBaL6oZZqrUM6TgsDBbbimQ?e=pdti5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gu.hosted.panopto.com/Panopto/Pages/Viewer.aspx?id=96313931-aed9-4cdc-86fe-b02800e4f5df" TargetMode="External"/><Relationship Id="rId9" Type="http://schemas.openxmlformats.org/officeDocument/2006/relationships/hyperlink" Target="https://www02a.timetrade.com/app/wgu-mentoring/workflows/WGU100/schedule/appointment-type?wfsid=9pm23aab5bgjk231brhaijb58jeglv77&amp;locationId=course_mentoring&amp;appointmentTypeGroupId=CM&amp;resourceId=005a000000CBjHbAAL&amp;f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Sewell</dc:creator>
  <cp:keywords/>
  <dc:description/>
  <cp:lastModifiedBy>William Sewell</cp:lastModifiedBy>
  <cp:revision>4</cp:revision>
  <dcterms:created xsi:type="dcterms:W3CDTF">2023-10-04T16:38:00Z</dcterms:created>
  <dcterms:modified xsi:type="dcterms:W3CDTF">2023-10-04T16:41:00Z</dcterms:modified>
</cp:coreProperties>
</file>