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5B66F6" w14:textId="17B0D255" w:rsidR="00E90584" w:rsidRPr="00E90584" w:rsidRDefault="00E90584" w:rsidP="00E90584">
      <w:pPr>
        <w:jc w:val="center"/>
        <w:rPr>
          <w:rFonts w:ascii="Times New Roman" w:hAnsi="Times New Roman" w:cs="Times New Roman"/>
        </w:rPr>
      </w:pPr>
      <w:r w:rsidRPr="00E90584">
        <w:rPr>
          <w:rFonts w:ascii="Times New Roman" w:hAnsi="Times New Roman" w:cs="Times New Roman"/>
          <w:noProof/>
        </w:rPr>
        <w:drawing>
          <wp:inline distT="0" distB="0" distL="0" distR="0" wp14:anchorId="49B31803" wp14:editId="21676C42">
            <wp:extent cx="4381500" cy="4381500"/>
            <wp:effectExtent l="0" t="0" r="0" b="0"/>
            <wp:docPr id="1029519284" name="Picture 1" descr="programadores-itla (Programadores ITLA) ·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ogramadores-itla (Programadores ITLA) · GitHub"/>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81500" cy="4381500"/>
                    </a:xfrm>
                    <a:prstGeom prst="rect">
                      <a:avLst/>
                    </a:prstGeom>
                    <a:noFill/>
                    <a:ln>
                      <a:noFill/>
                    </a:ln>
                  </pic:spPr>
                </pic:pic>
              </a:graphicData>
            </a:graphic>
          </wp:inline>
        </w:drawing>
      </w:r>
    </w:p>
    <w:p w14:paraId="0D330298" w14:textId="77777777" w:rsidR="00E90584" w:rsidRPr="00E90584" w:rsidRDefault="00E90584" w:rsidP="00E90584">
      <w:pPr>
        <w:jc w:val="center"/>
        <w:rPr>
          <w:rFonts w:ascii="Times New Roman" w:hAnsi="Times New Roman" w:cs="Times New Roman"/>
        </w:rPr>
      </w:pPr>
    </w:p>
    <w:p w14:paraId="41DDBD9C" w14:textId="5BF3FE93" w:rsidR="00E90584" w:rsidRPr="00E90584" w:rsidRDefault="00E90584" w:rsidP="00E90584">
      <w:pPr>
        <w:jc w:val="center"/>
        <w:rPr>
          <w:rFonts w:ascii="Times New Roman" w:hAnsi="Times New Roman" w:cs="Times New Roman"/>
          <w:sz w:val="32"/>
          <w:szCs w:val="32"/>
        </w:rPr>
      </w:pPr>
      <w:r w:rsidRPr="00E90584">
        <w:rPr>
          <w:rFonts w:ascii="Times New Roman" w:hAnsi="Times New Roman" w:cs="Times New Roman"/>
          <w:sz w:val="32"/>
          <w:szCs w:val="32"/>
        </w:rPr>
        <w:t>Josue Stalin Herrera Valdez</w:t>
      </w:r>
    </w:p>
    <w:p w14:paraId="7D796D96" w14:textId="66962295" w:rsidR="00E90584" w:rsidRPr="00E90584" w:rsidRDefault="00E90584" w:rsidP="00E90584">
      <w:pPr>
        <w:jc w:val="center"/>
        <w:rPr>
          <w:rFonts w:ascii="Times New Roman" w:hAnsi="Times New Roman" w:cs="Times New Roman"/>
          <w:sz w:val="32"/>
          <w:szCs w:val="32"/>
        </w:rPr>
      </w:pPr>
      <w:proofErr w:type="spellStart"/>
      <w:r w:rsidRPr="00E90584">
        <w:rPr>
          <w:rFonts w:ascii="Times New Roman" w:hAnsi="Times New Roman" w:cs="Times New Roman"/>
          <w:sz w:val="32"/>
          <w:szCs w:val="32"/>
        </w:rPr>
        <w:t>Electíva</w:t>
      </w:r>
      <w:proofErr w:type="spellEnd"/>
      <w:r w:rsidRPr="00E90584">
        <w:rPr>
          <w:rFonts w:ascii="Times New Roman" w:hAnsi="Times New Roman" w:cs="Times New Roman"/>
          <w:sz w:val="32"/>
          <w:szCs w:val="32"/>
        </w:rPr>
        <w:t xml:space="preserve"> </w:t>
      </w:r>
      <w:proofErr w:type="spellStart"/>
      <w:r w:rsidRPr="00E90584">
        <w:rPr>
          <w:rFonts w:ascii="Times New Roman" w:hAnsi="Times New Roman" w:cs="Times New Roman"/>
          <w:sz w:val="32"/>
          <w:szCs w:val="32"/>
        </w:rPr>
        <w:t>Mecatrónica</w:t>
      </w:r>
      <w:proofErr w:type="spellEnd"/>
    </w:p>
    <w:p w14:paraId="722BD50C" w14:textId="00BE2138" w:rsidR="00E90584" w:rsidRDefault="00E90584" w:rsidP="00E90584">
      <w:pPr>
        <w:jc w:val="center"/>
        <w:rPr>
          <w:rFonts w:ascii="Times New Roman" w:hAnsi="Times New Roman" w:cs="Times New Roman"/>
          <w:sz w:val="32"/>
          <w:szCs w:val="32"/>
          <w:lang w:val="es-DO"/>
        </w:rPr>
      </w:pPr>
      <w:r w:rsidRPr="00E90584">
        <w:rPr>
          <w:rFonts w:ascii="Times New Roman" w:hAnsi="Times New Roman" w:cs="Times New Roman"/>
          <w:sz w:val="32"/>
          <w:szCs w:val="32"/>
          <w:lang w:val="es-DO"/>
        </w:rPr>
        <w:t>N</w:t>
      </w:r>
      <w:r w:rsidRPr="00E90584">
        <w:rPr>
          <w:rFonts w:ascii="Times New Roman" w:hAnsi="Times New Roman" w:cs="Times New Roman"/>
          <w:sz w:val="32"/>
          <w:szCs w:val="32"/>
          <w:lang w:val="es-DO"/>
        </w:rPr>
        <w:t>ormas o reglamentos para los equipos que se utilizan en un ambiente educativo</w:t>
      </w:r>
    </w:p>
    <w:p w14:paraId="190D0F5A" w14:textId="77777777" w:rsidR="00E90584" w:rsidRDefault="00E90584">
      <w:pPr>
        <w:rPr>
          <w:rFonts w:ascii="Times New Roman" w:hAnsi="Times New Roman" w:cs="Times New Roman"/>
          <w:sz w:val="32"/>
          <w:szCs w:val="32"/>
          <w:lang w:val="es-DO"/>
        </w:rPr>
      </w:pPr>
      <w:r>
        <w:rPr>
          <w:rFonts w:ascii="Times New Roman" w:hAnsi="Times New Roman" w:cs="Times New Roman"/>
          <w:sz w:val="32"/>
          <w:szCs w:val="32"/>
          <w:lang w:val="es-DO"/>
        </w:rPr>
        <w:br w:type="page"/>
      </w:r>
    </w:p>
    <w:p w14:paraId="78B4CC2F" w14:textId="77777777" w:rsidR="00E90584" w:rsidRPr="00E90584" w:rsidRDefault="00E90584" w:rsidP="00E90584">
      <w:pPr>
        <w:pStyle w:val="ListParagraph"/>
        <w:numPr>
          <w:ilvl w:val="0"/>
          <w:numId w:val="1"/>
        </w:numPr>
        <w:rPr>
          <w:rFonts w:ascii="Times New Roman" w:hAnsi="Times New Roman" w:cs="Times New Roman"/>
          <w:sz w:val="28"/>
          <w:szCs w:val="28"/>
          <w:lang w:val="es-DO"/>
        </w:rPr>
      </w:pPr>
      <w:r w:rsidRPr="00E90584">
        <w:rPr>
          <w:rFonts w:ascii="Times New Roman" w:hAnsi="Times New Roman" w:cs="Times New Roman"/>
          <w:sz w:val="28"/>
          <w:szCs w:val="28"/>
          <w:lang w:val="es-DO"/>
        </w:rPr>
        <w:lastRenderedPageBreak/>
        <w:t>Seguridad y Ergonomía</w:t>
      </w:r>
    </w:p>
    <w:p w14:paraId="4B0A319E" w14:textId="77777777" w:rsidR="00E90584" w:rsidRPr="00E90584" w:rsidRDefault="00E90584" w:rsidP="00E90584">
      <w:pPr>
        <w:rPr>
          <w:rFonts w:ascii="Times New Roman" w:hAnsi="Times New Roman" w:cs="Times New Roman"/>
          <w:sz w:val="28"/>
          <w:szCs w:val="28"/>
          <w:lang w:val="es-DO"/>
        </w:rPr>
      </w:pPr>
    </w:p>
    <w:p w14:paraId="611E4EB1" w14:textId="77777777" w:rsidR="00E90584" w:rsidRPr="00E90584" w:rsidRDefault="00E90584" w:rsidP="00E90584">
      <w:pPr>
        <w:pStyle w:val="ListParagraph"/>
        <w:numPr>
          <w:ilvl w:val="0"/>
          <w:numId w:val="1"/>
        </w:numPr>
        <w:rPr>
          <w:rFonts w:ascii="Times New Roman" w:hAnsi="Times New Roman" w:cs="Times New Roman"/>
          <w:sz w:val="28"/>
          <w:szCs w:val="28"/>
          <w:lang w:val="es-DO"/>
        </w:rPr>
      </w:pPr>
      <w:r w:rsidRPr="00E90584">
        <w:rPr>
          <w:rFonts w:ascii="Times New Roman" w:hAnsi="Times New Roman" w:cs="Times New Roman"/>
          <w:sz w:val="28"/>
          <w:szCs w:val="28"/>
          <w:lang w:val="es-DO"/>
        </w:rPr>
        <w:t>Laboratorios y Áreas Técnicas</w:t>
      </w:r>
    </w:p>
    <w:p w14:paraId="62BDC366" w14:textId="77777777" w:rsidR="00E90584" w:rsidRPr="00E90584" w:rsidRDefault="00E90584" w:rsidP="00E90584">
      <w:pPr>
        <w:rPr>
          <w:rFonts w:ascii="Times New Roman" w:hAnsi="Times New Roman" w:cs="Times New Roman"/>
          <w:sz w:val="28"/>
          <w:szCs w:val="28"/>
          <w:lang w:val="es-DO"/>
        </w:rPr>
      </w:pPr>
    </w:p>
    <w:p w14:paraId="24FE1DDC" w14:textId="77777777" w:rsidR="00E90584" w:rsidRPr="00E90584" w:rsidRDefault="00E90584" w:rsidP="00E90584">
      <w:pPr>
        <w:pStyle w:val="ListParagraph"/>
        <w:numPr>
          <w:ilvl w:val="0"/>
          <w:numId w:val="1"/>
        </w:numPr>
        <w:rPr>
          <w:rFonts w:ascii="Times New Roman" w:hAnsi="Times New Roman" w:cs="Times New Roman"/>
          <w:sz w:val="28"/>
          <w:szCs w:val="28"/>
          <w:lang w:val="es-DO"/>
        </w:rPr>
      </w:pPr>
      <w:r w:rsidRPr="00E90584">
        <w:rPr>
          <w:rFonts w:ascii="Times New Roman" w:hAnsi="Times New Roman" w:cs="Times New Roman"/>
          <w:sz w:val="28"/>
          <w:szCs w:val="28"/>
          <w:lang w:val="es-DO"/>
        </w:rPr>
        <w:t>Infraestructura Informática y Medioambiental</w:t>
      </w:r>
    </w:p>
    <w:p w14:paraId="43CC59C9" w14:textId="77777777" w:rsidR="00E90584" w:rsidRPr="00E90584" w:rsidRDefault="00E90584" w:rsidP="00E90584">
      <w:pPr>
        <w:rPr>
          <w:rFonts w:ascii="Times New Roman" w:hAnsi="Times New Roman" w:cs="Times New Roman"/>
          <w:sz w:val="28"/>
          <w:szCs w:val="28"/>
          <w:lang w:val="es-DO"/>
        </w:rPr>
      </w:pPr>
    </w:p>
    <w:p w14:paraId="52F5D482" w14:textId="119D5E32" w:rsidR="00E90584" w:rsidRPr="00E90584" w:rsidRDefault="00E90584" w:rsidP="00E90584">
      <w:pPr>
        <w:pStyle w:val="ListParagraph"/>
        <w:numPr>
          <w:ilvl w:val="0"/>
          <w:numId w:val="1"/>
        </w:numPr>
        <w:rPr>
          <w:rFonts w:ascii="Times New Roman" w:hAnsi="Times New Roman" w:cs="Times New Roman"/>
          <w:sz w:val="28"/>
          <w:szCs w:val="28"/>
        </w:rPr>
      </w:pPr>
      <w:r w:rsidRPr="00E90584">
        <w:rPr>
          <w:rFonts w:ascii="Times New Roman" w:hAnsi="Times New Roman" w:cs="Times New Roman"/>
          <w:sz w:val="28"/>
          <w:szCs w:val="28"/>
          <w:lang w:val="es-DO"/>
        </w:rPr>
        <w:t>Regulaciones Institucionales y Locales</w:t>
      </w:r>
      <w:r w:rsidRPr="00E90584">
        <w:rPr>
          <w:rFonts w:ascii="Times New Roman" w:hAnsi="Times New Roman" w:cs="Times New Roman"/>
          <w:sz w:val="28"/>
          <w:szCs w:val="28"/>
        </w:rPr>
        <w:br w:type="page"/>
      </w:r>
    </w:p>
    <w:p w14:paraId="46B3A911" w14:textId="1F1EDFB0" w:rsidR="00E90584" w:rsidRPr="00E90584" w:rsidRDefault="00E90584" w:rsidP="00E90584">
      <w:pPr>
        <w:pStyle w:val="ListParagraph"/>
        <w:numPr>
          <w:ilvl w:val="0"/>
          <w:numId w:val="2"/>
        </w:numPr>
        <w:rPr>
          <w:rFonts w:ascii="Times New Roman" w:hAnsi="Times New Roman" w:cs="Times New Roman"/>
          <w:sz w:val="28"/>
          <w:szCs w:val="28"/>
          <w:lang w:val="es-DO"/>
        </w:rPr>
      </w:pPr>
      <w:r w:rsidRPr="00E90584">
        <w:rPr>
          <w:rFonts w:ascii="Times New Roman" w:hAnsi="Times New Roman" w:cs="Times New Roman"/>
          <w:sz w:val="28"/>
          <w:szCs w:val="28"/>
          <w:lang w:val="es-DO"/>
        </w:rPr>
        <w:lastRenderedPageBreak/>
        <w:t>Seguridad y Ergonomía</w:t>
      </w:r>
    </w:p>
    <w:p w14:paraId="7569D6B3" w14:textId="77777777" w:rsidR="00E90584" w:rsidRPr="00E90584" w:rsidRDefault="00E90584" w:rsidP="00E90584">
      <w:pPr>
        <w:rPr>
          <w:rFonts w:ascii="Times New Roman" w:hAnsi="Times New Roman" w:cs="Times New Roman"/>
          <w:sz w:val="28"/>
          <w:szCs w:val="28"/>
          <w:lang w:val="es-DO"/>
        </w:rPr>
      </w:pPr>
      <w:r w:rsidRPr="00E90584">
        <w:rPr>
          <w:rFonts w:ascii="Times New Roman" w:hAnsi="Times New Roman" w:cs="Times New Roman"/>
          <w:sz w:val="28"/>
          <w:szCs w:val="28"/>
          <w:lang w:val="es-DO"/>
        </w:rPr>
        <w:t>El mobiliario y los dispositivos de uso general deben proteger la integridad física de los estudiantes mediante el cumplimiento de normativas como la ISO 9241, que establece los requisitos ergonómicos para evitar lesiones musculoesqueléticas durante largas jornadas de estudio. Además, los aparatos electrónicos como computadoras y proyectores requieren certificaciones eléctricas (como UL o CE) para prevenir riesgos de cortocircuitos o incendios, mientras que el diseño general de los equipos debe apegarse a leyes de accesibilidad universal para garantizar que sean utilizables por personas con discapacidades motoras o visuales.</w:t>
      </w:r>
    </w:p>
    <w:p w14:paraId="785E95F2" w14:textId="77777777" w:rsidR="00E90584" w:rsidRPr="00E90584" w:rsidRDefault="00E90584" w:rsidP="00E90584">
      <w:pPr>
        <w:rPr>
          <w:rFonts w:ascii="Times New Roman" w:hAnsi="Times New Roman" w:cs="Times New Roman"/>
          <w:sz w:val="28"/>
          <w:szCs w:val="28"/>
          <w:lang w:val="es-DO"/>
        </w:rPr>
      </w:pPr>
    </w:p>
    <w:p w14:paraId="5FAB6E1B" w14:textId="318BEF70" w:rsidR="00E90584" w:rsidRPr="00E90584" w:rsidRDefault="00E90584" w:rsidP="00E90584">
      <w:pPr>
        <w:pStyle w:val="ListParagraph"/>
        <w:numPr>
          <w:ilvl w:val="0"/>
          <w:numId w:val="2"/>
        </w:numPr>
        <w:rPr>
          <w:rFonts w:ascii="Times New Roman" w:hAnsi="Times New Roman" w:cs="Times New Roman"/>
          <w:sz w:val="28"/>
          <w:szCs w:val="28"/>
          <w:lang w:val="es-DO"/>
        </w:rPr>
      </w:pPr>
      <w:r w:rsidRPr="00E90584">
        <w:rPr>
          <w:rFonts w:ascii="Times New Roman" w:hAnsi="Times New Roman" w:cs="Times New Roman"/>
          <w:sz w:val="28"/>
          <w:szCs w:val="28"/>
          <w:lang w:val="es-DO"/>
        </w:rPr>
        <w:t>Laboratorios y Áreas Técnicas</w:t>
      </w:r>
    </w:p>
    <w:p w14:paraId="4EABF220" w14:textId="77777777" w:rsidR="00E90584" w:rsidRPr="00E90584" w:rsidRDefault="00E90584" w:rsidP="00E90584">
      <w:pPr>
        <w:rPr>
          <w:rFonts w:ascii="Times New Roman" w:hAnsi="Times New Roman" w:cs="Times New Roman"/>
          <w:sz w:val="28"/>
          <w:szCs w:val="28"/>
          <w:lang w:val="es-DO"/>
        </w:rPr>
      </w:pPr>
      <w:r w:rsidRPr="00E90584">
        <w:rPr>
          <w:rFonts w:ascii="Times New Roman" w:hAnsi="Times New Roman" w:cs="Times New Roman"/>
          <w:sz w:val="28"/>
          <w:szCs w:val="28"/>
          <w:lang w:val="es-DO"/>
        </w:rPr>
        <w:t>En los espacios de formación especializada, como los talleres de mecatrónica o manufactura, los equipos de grado industrial deben regirse por estrictos estándares de seguridad operativa, tales como los definidos por OSHA o la ISO 12100. Esto exige que las maquinarias complejas, como brazos robóticos, impresoras 3D o tornos CNC, cuenten obligatoriamente con sistemas de parada de emergencia, guardas de protección y sensores de enclavamiento, haciendo indispensable que los usuarios operen estos equipos utilizando en todo momento el equipo de protección personal (EPP) correspondiente para prevenir accidentes.</w:t>
      </w:r>
    </w:p>
    <w:p w14:paraId="35749A2E" w14:textId="77777777" w:rsidR="00E90584" w:rsidRPr="00E90584" w:rsidRDefault="00E90584" w:rsidP="00E90584">
      <w:pPr>
        <w:rPr>
          <w:rFonts w:ascii="Times New Roman" w:hAnsi="Times New Roman" w:cs="Times New Roman"/>
          <w:sz w:val="28"/>
          <w:szCs w:val="28"/>
          <w:lang w:val="es-DO"/>
        </w:rPr>
      </w:pPr>
    </w:p>
    <w:p w14:paraId="554BA768" w14:textId="3DCF6322" w:rsidR="00E90584" w:rsidRPr="00E90584" w:rsidRDefault="00E90584" w:rsidP="00E90584">
      <w:pPr>
        <w:pStyle w:val="ListParagraph"/>
        <w:numPr>
          <w:ilvl w:val="0"/>
          <w:numId w:val="2"/>
        </w:numPr>
        <w:rPr>
          <w:rFonts w:ascii="Times New Roman" w:hAnsi="Times New Roman" w:cs="Times New Roman"/>
          <w:sz w:val="28"/>
          <w:szCs w:val="28"/>
          <w:lang w:val="es-DO"/>
        </w:rPr>
      </w:pPr>
      <w:r w:rsidRPr="00E90584">
        <w:rPr>
          <w:rFonts w:ascii="Times New Roman" w:hAnsi="Times New Roman" w:cs="Times New Roman"/>
          <w:sz w:val="28"/>
          <w:szCs w:val="28"/>
          <w:lang w:val="es-DO"/>
        </w:rPr>
        <w:t>Infraestructura Informática y Medioambiental</w:t>
      </w:r>
    </w:p>
    <w:p w14:paraId="526232AC" w14:textId="77777777" w:rsidR="00E90584" w:rsidRPr="00E90584" w:rsidRDefault="00E90584" w:rsidP="00E90584">
      <w:pPr>
        <w:rPr>
          <w:rFonts w:ascii="Times New Roman" w:hAnsi="Times New Roman" w:cs="Times New Roman"/>
          <w:sz w:val="28"/>
          <w:szCs w:val="28"/>
          <w:lang w:val="es-DO"/>
        </w:rPr>
      </w:pPr>
      <w:r w:rsidRPr="00E90584">
        <w:rPr>
          <w:rFonts w:ascii="Times New Roman" w:hAnsi="Times New Roman" w:cs="Times New Roman"/>
          <w:sz w:val="28"/>
          <w:szCs w:val="28"/>
          <w:lang w:val="es-DO"/>
        </w:rPr>
        <w:t>Los equipos de cómputo y de telecomunicaciones utilizados en la red del campus están sujetos tanto a normativas de rendimiento técnico como a directrices ecológicas internacionales. Regulaciones como RoHS y WEEE controlan la restricción de materiales peligrosos (como plomo o mercurio) en la fabricación de los componentes y dictan los protocolos obligatorios para su correcto reciclaje al final de su vida útil, mientras que los estándares de red del IEEE aseguran que la infraestructura soporte una alta densidad de conexiones de manera eficiente y sin interferencias.</w:t>
      </w:r>
    </w:p>
    <w:p w14:paraId="1C3ECDEC" w14:textId="77777777" w:rsidR="00E90584" w:rsidRDefault="00E90584" w:rsidP="00E90584">
      <w:pPr>
        <w:rPr>
          <w:rFonts w:ascii="Times New Roman" w:hAnsi="Times New Roman" w:cs="Times New Roman"/>
          <w:sz w:val="28"/>
          <w:szCs w:val="28"/>
          <w:lang w:val="es-DO"/>
        </w:rPr>
      </w:pPr>
    </w:p>
    <w:p w14:paraId="6D07432B" w14:textId="77777777" w:rsidR="00E90584" w:rsidRPr="00E90584" w:rsidRDefault="00E90584" w:rsidP="00E90584">
      <w:pPr>
        <w:rPr>
          <w:rFonts w:ascii="Times New Roman" w:hAnsi="Times New Roman" w:cs="Times New Roman"/>
          <w:sz w:val="28"/>
          <w:szCs w:val="28"/>
          <w:lang w:val="es-DO"/>
        </w:rPr>
      </w:pPr>
    </w:p>
    <w:p w14:paraId="306E9D9E" w14:textId="2221FEF6" w:rsidR="00E90584" w:rsidRPr="00E90584" w:rsidRDefault="00E90584" w:rsidP="00E90584">
      <w:pPr>
        <w:pStyle w:val="ListParagraph"/>
        <w:numPr>
          <w:ilvl w:val="0"/>
          <w:numId w:val="2"/>
        </w:numPr>
        <w:rPr>
          <w:rFonts w:ascii="Times New Roman" w:hAnsi="Times New Roman" w:cs="Times New Roman"/>
          <w:sz w:val="28"/>
          <w:szCs w:val="28"/>
          <w:lang w:val="es-DO"/>
        </w:rPr>
      </w:pPr>
      <w:r w:rsidRPr="00E90584">
        <w:rPr>
          <w:rFonts w:ascii="Times New Roman" w:hAnsi="Times New Roman" w:cs="Times New Roman"/>
          <w:sz w:val="28"/>
          <w:szCs w:val="28"/>
          <w:lang w:val="es-DO"/>
        </w:rPr>
        <w:lastRenderedPageBreak/>
        <w:t>Regulaciones Institucionales y Locales</w:t>
      </w:r>
    </w:p>
    <w:p w14:paraId="2A8D107C" w14:textId="1EA189CC" w:rsidR="00E90584" w:rsidRDefault="00E90584" w:rsidP="00E90584">
      <w:pPr>
        <w:rPr>
          <w:rFonts w:ascii="Times New Roman" w:hAnsi="Times New Roman" w:cs="Times New Roman"/>
          <w:sz w:val="28"/>
          <w:szCs w:val="28"/>
          <w:lang w:val="es-DO"/>
        </w:rPr>
      </w:pPr>
      <w:r w:rsidRPr="00E90584">
        <w:rPr>
          <w:rFonts w:ascii="Times New Roman" w:hAnsi="Times New Roman" w:cs="Times New Roman"/>
          <w:sz w:val="28"/>
          <w:szCs w:val="28"/>
          <w:lang w:val="es-DO"/>
        </w:rPr>
        <w:t>A nivel administrativo e infraestructural, las entidades de educación superior deben cumplir con las exigencias del ministerio de educación correspondiente (como el MESCYT) y los organismos de protección civil para mantener sus operaciones y acreditaciones. Estas regulaciones exigen llevar un registro de mantenimiento preventivo y calibración para toda la maquinaria pesada, además de implementar protocolos de emergencia que incluyan rutas de evacuación libres de obstáculos y extintores adecuados para fuegos de origen eléctrico o químico.</w:t>
      </w:r>
    </w:p>
    <w:p w14:paraId="66F928DE" w14:textId="77777777" w:rsidR="00E90584" w:rsidRDefault="00E90584" w:rsidP="00E90584">
      <w:pPr>
        <w:rPr>
          <w:rFonts w:ascii="Times New Roman" w:hAnsi="Times New Roman" w:cs="Times New Roman"/>
          <w:sz w:val="28"/>
          <w:szCs w:val="28"/>
          <w:lang w:val="es-DO"/>
        </w:rPr>
      </w:pPr>
    </w:p>
    <w:p w14:paraId="7AE6B3C4" w14:textId="59F6168A" w:rsidR="00E90584" w:rsidRDefault="00E90584" w:rsidP="00E90584">
      <w:pPr>
        <w:rPr>
          <w:rFonts w:ascii="Times New Roman" w:hAnsi="Times New Roman" w:cs="Times New Roman"/>
          <w:sz w:val="28"/>
          <w:szCs w:val="28"/>
          <w:lang w:val="es-DO"/>
        </w:rPr>
      </w:pPr>
      <w:r>
        <w:rPr>
          <w:rFonts w:ascii="Times New Roman" w:hAnsi="Times New Roman" w:cs="Times New Roman"/>
          <w:sz w:val="28"/>
          <w:szCs w:val="28"/>
          <w:lang w:val="es-DO"/>
        </w:rPr>
        <w:t>Conclusión</w:t>
      </w:r>
    </w:p>
    <w:p w14:paraId="5A8692EE" w14:textId="77777777" w:rsidR="00E90584" w:rsidRPr="00E90584" w:rsidRDefault="00E90584" w:rsidP="00E90584">
      <w:pPr>
        <w:rPr>
          <w:rFonts w:ascii="Times New Roman" w:hAnsi="Times New Roman" w:cs="Times New Roman"/>
          <w:sz w:val="28"/>
          <w:szCs w:val="28"/>
          <w:lang w:val="es-DO"/>
        </w:rPr>
      </w:pPr>
      <w:r w:rsidRPr="00E90584">
        <w:rPr>
          <w:rFonts w:ascii="Times New Roman" w:hAnsi="Times New Roman" w:cs="Times New Roman"/>
          <w:sz w:val="28"/>
          <w:szCs w:val="28"/>
          <w:lang w:val="es-DO"/>
        </w:rPr>
        <w:t>En conclusión, la aplicación rigurosa de normas y reglamentos para los equipos en entornos educativos trasciende el simple cumplimiento legal; es el pilar fundamental para garantizar un ecosistema de aprendizaje seguro, inclusivo y eficiente. Ya sea mediante el diseño ergonómico en las aulas teóricas, los estrictos protocolos de seguridad industrial en los laboratorios o el manejo responsable de los recursos tecnológicos, estas directrices protegen la integridad física de los usuarios y prolongan la vida útil de la infraestructura. En definitiva, el apego a estas normativas asegura que las instituciones ofrezcan una educación de alta calidad, protegiendo a la comunidad académica mientras se fomenta un espacio óptimo para el desarrollo técnico y profesional.</w:t>
      </w:r>
    </w:p>
    <w:p w14:paraId="6E02106E" w14:textId="77777777" w:rsidR="00E90584" w:rsidRPr="00E90584" w:rsidRDefault="00E90584" w:rsidP="00E90584">
      <w:pPr>
        <w:rPr>
          <w:rFonts w:ascii="Times New Roman" w:hAnsi="Times New Roman" w:cs="Times New Roman"/>
          <w:sz w:val="28"/>
          <w:szCs w:val="28"/>
          <w:lang w:val="es-DO"/>
        </w:rPr>
      </w:pPr>
    </w:p>
    <w:sectPr w:rsidR="00E90584" w:rsidRPr="00E905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3D4E7B"/>
    <w:multiLevelType w:val="hybridMultilevel"/>
    <w:tmpl w:val="6B96F9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5031F7B"/>
    <w:multiLevelType w:val="hybridMultilevel"/>
    <w:tmpl w:val="F432A5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02945947">
    <w:abstractNumId w:val="1"/>
  </w:num>
  <w:num w:numId="2" w16cid:durableId="17637189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584"/>
    <w:rsid w:val="006B2E7B"/>
    <w:rsid w:val="00E905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A4B63"/>
  <w15:chartTrackingRefBased/>
  <w15:docId w15:val="{FA21F931-B1B2-452A-A843-B175339AE3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05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05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05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05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05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05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05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05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05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05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05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05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05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05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05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05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05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0584"/>
    <w:rPr>
      <w:rFonts w:eastAsiaTheme="majorEastAsia" w:cstheme="majorBidi"/>
      <w:color w:val="272727" w:themeColor="text1" w:themeTint="D8"/>
    </w:rPr>
  </w:style>
  <w:style w:type="paragraph" w:styleId="Title">
    <w:name w:val="Title"/>
    <w:basedOn w:val="Normal"/>
    <w:next w:val="Normal"/>
    <w:link w:val="TitleChar"/>
    <w:uiPriority w:val="10"/>
    <w:qFormat/>
    <w:rsid w:val="00E905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05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05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05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0584"/>
    <w:pPr>
      <w:spacing w:before="160"/>
      <w:jc w:val="center"/>
    </w:pPr>
    <w:rPr>
      <w:i/>
      <w:iCs/>
      <w:color w:val="404040" w:themeColor="text1" w:themeTint="BF"/>
    </w:rPr>
  </w:style>
  <w:style w:type="character" w:customStyle="1" w:styleId="QuoteChar">
    <w:name w:val="Quote Char"/>
    <w:basedOn w:val="DefaultParagraphFont"/>
    <w:link w:val="Quote"/>
    <w:uiPriority w:val="29"/>
    <w:rsid w:val="00E90584"/>
    <w:rPr>
      <w:i/>
      <w:iCs/>
      <w:color w:val="404040" w:themeColor="text1" w:themeTint="BF"/>
    </w:rPr>
  </w:style>
  <w:style w:type="paragraph" w:styleId="ListParagraph">
    <w:name w:val="List Paragraph"/>
    <w:basedOn w:val="Normal"/>
    <w:uiPriority w:val="34"/>
    <w:qFormat/>
    <w:rsid w:val="00E90584"/>
    <w:pPr>
      <w:ind w:left="720"/>
      <w:contextualSpacing/>
    </w:pPr>
  </w:style>
  <w:style w:type="character" w:styleId="IntenseEmphasis">
    <w:name w:val="Intense Emphasis"/>
    <w:basedOn w:val="DefaultParagraphFont"/>
    <w:uiPriority w:val="21"/>
    <w:qFormat/>
    <w:rsid w:val="00E90584"/>
    <w:rPr>
      <w:i/>
      <w:iCs/>
      <w:color w:val="0F4761" w:themeColor="accent1" w:themeShade="BF"/>
    </w:rPr>
  </w:style>
  <w:style w:type="paragraph" w:styleId="IntenseQuote">
    <w:name w:val="Intense Quote"/>
    <w:basedOn w:val="Normal"/>
    <w:next w:val="Normal"/>
    <w:link w:val="IntenseQuoteChar"/>
    <w:uiPriority w:val="30"/>
    <w:qFormat/>
    <w:rsid w:val="00E905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0584"/>
    <w:rPr>
      <w:i/>
      <w:iCs/>
      <w:color w:val="0F4761" w:themeColor="accent1" w:themeShade="BF"/>
    </w:rPr>
  </w:style>
  <w:style w:type="character" w:styleId="IntenseReference">
    <w:name w:val="Intense Reference"/>
    <w:basedOn w:val="DefaultParagraphFont"/>
    <w:uiPriority w:val="32"/>
    <w:qFormat/>
    <w:rsid w:val="00E90584"/>
    <w:rPr>
      <w:b/>
      <w:bCs/>
      <w:smallCaps/>
      <w:color w:val="0F4761" w:themeColor="accent1" w:themeShade="BF"/>
      <w:spacing w:val="5"/>
    </w:rPr>
  </w:style>
  <w:style w:type="paragraph" w:styleId="TOCHeading">
    <w:name w:val="TOC Heading"/>
    <w:basedOn w:val="Heading1"/>
    <w:next w:val="Normal"/>
    <w:uiPriority w:val="39"/>
    <w:unhideWhenUsed/>
    <w:qFormat/>
    <w:rsid w:val="00E90584"/>
    <w:pPr>
      <w:spacing w:before="240" w:after="0" w:line="259" w:lineRule="auto"/>
      <w:outlineLvl w:val="9"/>
    </w:pPr>
    <w:rPr>
      <w:kern w:val="0"/>
      <w:sz w:val="32"/>
      <w:szCs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9D6E91-A139-4A89-81EA-96449F1C55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Pages>
  <Words>530</Words>
  <Characters>3025</Characters>
  <Application>Microsoft Office Word</Application>
  <DocSecurity>0</DocSecurity>
  <Lines>25</Lines>
  <Paragraphs>7</Paragraphs>
  <ScaleCrop>false</ScaleCrop>
  <Company/>
  <LinksUpToDate>false</LinksUpToDate>
  <CharactersWithSpaces>3548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Josue Herrera</dc:creator>
  <cp:keywords/>
  <dc:description/>
  <cp:lastModifiedBy>Josue Herrera</cp:lastModifiedBy>
  <cp:revision>1</cp:revision>
  <dcterms:created xsi:type="dcterms:W3CDTF">2026-08-20T13:05:00Z</dcterms:created>
  <dcterms:modified xsi:type="dcterms:W3CDTF">2026-08-20T13:10:00Z</dcterms:modified>
</cp:coreProperties>
</file>