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5DC69" w14:textId="77777777" w:rsidR="00DF0134" w:rsidRPr="00670C9C" w:rsidRDefault="00DF0134" w:rsidP="00235F6C">
      <w:pPr>
        <w:pStyle w:val="Listenabsatz"/>
        <w:numPr>
          <w:ilvl w:val="0"/>
          <w:numId w:val="5"/>
        </w:numPr>
        <w:rPr>
          <w:b/>
        </w:rPr>
      </w:pPr>
      <w:bookmarkStart w:id="0" w:name="_GoBack"/>
      <w:bookmarkEnd w:id="0"/>
      <w:r w:rsidRPr="00670C9C">
        <w:rPr>
          <w:b/>
        </w:rPr>
        <w:t>Strategic writing problems</w:t>
      </w:r>
    </w:p>
    <w:p w14:paraId="5DA59324" w14:textId="77777777" w:rsidR="0024701F" w:rsidRDefault="00DF0134" w:rsidP="00D87E65">
      <w:pPr>
        <w:ind w:left="360" w:hanging="360"/>
      </w:pPr>
      <w:r>
        <w:t xml:space="preserve">A1: Don’t make statements that are unnecessary for your argument, but could be questioned. Example: </w:t>
      </w:r>
      <w:r w:rsidRPr="00DF0134">
        <w:rPr>
          <w:i/>
        </w:rPr>
        <w:t xml:space="preserve">“The </w:t>
      </w:r>
      <w:r w:rsidRPr="00DF0134">
        <w:rPr>
          <w:b/>
          <w:i/>
          <w:u w:val="single"/>
        </w:rPr>
        <w:t>two most</w:t>
      </w:r>
      <w:r w:rsidRPr="00DF0134">
        <w:rPr>
          <w:i/>
        </w:rPr>
        <w:t xml:space="preserve"> classic games to simulate the behavior of animals are the Hawk-Dove game and the Prisoner's Dilemma.”</w:t>
      </w:r>
      <w:r w:rsidRPr="00DF0134">
        <w:t xml:space="preserve"> -&gt; </w:t>
      </w:r>
      <w:r>
        <w:t>someone else might disagree. Is it really important to be so definite here? Why not say: Two classic games?</w:t>
      </w:r>
    </w:p>
    <w:p w14:paraId="65C22B30" w14:textId="39A6C650" w:rsidR="00D87E65" w:rsidRDefault="00DF0134" w:rsidP="00474BE5">
      <w:pPr>
        <w:ind w:left="360" w:hanging="360"/>
      </w:pPr>
      <w:r>
        <w:t xml:space="preserve">A2: </w:t>
      </w:r>
      <w:r w:rsidR="00D87E65">
        <w:t xml:space="preserve">Passive / Active: Seem my comments in the lecture notes on scientific writing. In general you should write in an active voice, </w:t>
      </w:r>
      <w:proofErr w:type="gramStart"/>
      <w:r w:rsidR="00D87E65">
        <w:t>unless  1</w:t>
      </w:r>
      <w:proofErr w:type="gramEnd"/>
      <w:r w:rsidR="00D87E65">
        <w:t xml:space="preserve">) Sentence structure C3 takes precedence 2) the thing you talk about is impersonal, was done by another person. More details in my lecture notes. In particular, opinions of your own SHOULD be active. </w:t>
      </w:r>
    </w:p>
    <w:p w14:paraId="06BDF7A2" w14:textId="028D832E" w:rsidR="00143B42" w:rsidRPr="00143B42" w:rsidRDefault="00143B42" w:rsidP="00474BE5">
      <w:pPr>
        <w:ind w:left="360" w:hanging="360"/>
        <w:rPr>
          <w:i/>
        </w:rPr>
      </w:pPr>
      <w:r>
        <w:t xml:space="preserve">A3: The Yoda rule – there is no try, </w:t>
      </w:r>
      <w:proofErr w:type="gramStart"/>
      <w:r>
        <w:t>do</w:t>
      </w:r>
      <w:proofErr w:type="gramEnd"/>
      <w:r>
        <w:t xml:space="preserve"> it. Phrases like: </w:t>
      </w:r>
      <w:r w:rsidRPr="00143B42">
        <w:rPr>
          <w:i/>
        </w:rPr>
        <w:t>“we attempted to find whether there is”, “this study aims at”</w:t>
      </w:r>
      <w:r>
        <w:t xml:space="preserve"> sound weak and defensive. </w:t>
      </w:r>
      <w:proofErr w:type="gramStart"/>
      <w:r>
        <w:t>Write</w:t>
      </w:r>
      <w:proofErr w:type="gramEnd"/>
      <w:r>
        <w:t xml:space="preserve"> </w:t>
      </w:r>
      <w:r w:rsidRPr="00143B42">
        <w:rPr>
          <w:i/>
        </w:rPr>
        <w:t>“we studied whether …”</w:t>
      </w:r>
    </w:p>
    <w:p w14:paraId="19BF60B3" w14:textId="77777777" w:rsidR="00DF0134" w:rsidRDefault="00DF0134" w:rsidP="00DF0134">
      <w:pPr>
        <w:rPr>
          <w:i/>
        </w:rPr>
      </w:pPr>
    </w:p>
    <w:p w14:paraId="5DED63F4" w14:textId="77777777" w:rsidR="00DF0134" w:rsidRDefault="00DF0134" w:rsidP="00DF0134">
      <w:r w:rsidRPr="00DF0134">
        <w:t xml:space="preserve">B) </w:t>
      </w:r>
      <w:r w:rsidRPr="00670C9C">
        <w:rPr>
          <w:b/>
        </w:rPr>
        <w:t>Logical problems</w:t>
      </w:r>
    </w:p>
    <w:p w14:paraId="772078EE" w14:textId="53BEE70F" w:rsidR="00DF0134" w:rsidRDefault="00DF0134" w:rsidP="00D87E65">
      <w:pPr>
        <w:ind w:left="360" w:hanging="360"/>
      </w:pPr>
      <w:r>
        <w:t xml:space="preserve">B1: The stated implication </w:t>
      </w:r>
      <w:r w:rsidR="00474BE5">
        <w:t>does not follow</w:t>
      </w:r>
      <w:r>
        <w:t xml:space="preserve"> logically from the argument. Example: </w:t>
      </w:r>
      <w:r w:rsidRPr="00DF0134">
        <w:rPr>
          <w:i/>
        </w:rPr>
        <w:t>“</w:t>
      </w:r>
      <w:r w:rsidRPr="00DF0134">
        <w:rPr>
          <w:b/>
          <w:i/>
          <w:u w:val="single"/>
        </w:rPr>
        <w:t>Because</w:t>
      </w:r>
      <w:r w:rsidRPr="00DF0134">
        <w:rPr>
          <w:i/>
        </w:rPr>
        <w:t xml:space="preserve"> both models follow different payoff schemes, it is important to know how a simulation model reacts to different settings.”</w:t>
      </w:r>
      <w:r>
        <w:rPr>
          <w:i/>
        </w:rPr>
        <w:t xml:space="preserve"> </w:t>
      </w:r>
      <w:r>
        <w:sym w:font="Wingdings" w:char="F0E0"/>
      </w:r>
      <w:r>
        <w:t xml:space="preserve"> Unclear why it is important to know how simulation reacts to different settings if two models are different</w:t>
      </w:r>
    </w:p>
    <w:p w14:paraId="786F6E51" w14:textId="6956C2B2" w:rsidR="000E3CFA" w:rsidRDefault="000E3CFA" w:rsidP="00D87E65">
      <w:pPr>
        <w:ind w:left="360" w:hanging="360"/>
      </w:pPr>
      <w:r>
        <w:t>B2: “</w:t>
      </w:r>
      <w:proofErr w:type="spellStart"/>
      <w:r>
        <w:t>Micrologic</w:t>
      </w:r>
      <w:proofErr w:type="spellEnd"/>
      <w:r>
        <w:t>”: logical indicators such as “thus”, “hen</w:t>
      </w:r>
      <w:r w:rsidR="00D61400">
        <w:t>ce”, “however”, “nevertheless” have a clear meaning. “</w:t>
      </w:r>
      <w:proofErr w:type="gramStart"/>
      <w:r w:rsidR="00D61400">
        <w:t>thus</w:t>
      </w:r>
      <w:proofErr w:type="gramEnd"/>
      <w:r w:rsidR="00D61400">
        <w:t>”, “hence” indicate an implication. “</w:t>
      </w:r>
      <w:proofErr w:type="gramStart"/>
      <w:r w:rsidR="00D61400">
        <w:t>however</w:t>
      </w:r>
      <w:proofErr w:type="gramEnd"/>
      <w:r w:rsidR="00D61400">
        <w:t>”, “nevertheless” indicate contradicting statements or evidence to the previous proposition.</w:t>
      </w:r>
    </w:p>
    <w:p w14:paraId="3C155D4D" w14:textId="77777777" w:rsidR="008651AD" w:rsidRDefault="008651AD" w:rsidP="008651AD">
      <w:r>
        <w:t>C</w:t>
      </w:r>
      <w:r w:rsidRPr="00670C9C">
        <w:rPr>
          <w:b/>
        </w:rPr>
        <w:t>) Style</w:t>
      </w:r>
    </w:p>
    <w:p w14:paraId="1AA92A57" w14:textId="77777777" w:rsidR="008651AD" w:rsidRDefault="008651AD" w:rsidP="00D87E65">
      <w:pPr>
        <w:ind w:left="567" w:hanging="567"/>
        <w:rPr>
          <w:i/>
        </w:rPr>
      </w:pPr>
      <w:r>
        <w:t xml:space="preserve">C1: Drop redundant words: Any of the following words can be erased: </w:t>
      </w:r>
      <w:r w:rsidRPr="008651AD">
        <w:rPr>
          <w:i/>
        </w:rPr>
        <w:t>“</w:t>
      </w:r>
      <w:r w:rsidRPr="008651AD">
        <w:rPr>
          <w:b/>
          <w:i/>
          <w:u w:val="single"/>
        </w:rPr>
        <w:t>a total of</w:t>
      </w:r>
      <w:r w:rsidRPr="008651AD">
        <w:rPr>
          <w:i/>
        </w:rPr>
        <w:t xml:space="preserve"> n subjects”</w:t>
      </w:r>
      <w:r>
        <w:rPr>
          <w:i/>
        </w:rPr>
        <w:t xml:space="preserve">, </w:t>
      </w:r>
      <w:r w:rsidRPr="008651AD">
        <w:rPr>
          <w:i/>
        </w:rPr>
        <w:t xml:space="preserve">“the simulations were run with the </w:t>
      </w:r>
      <w:r w:rsidRPr="008651AD">
        <w:rPr>
          <w:b/>
          <w:i/>
          <w:u w:val="single"/>
        </w:rPr>
        <w:t>exact</w:t>
      </w:r>
      <w:r w:rsidRPr="008651AD">
        <w:rPr>
          <w:i/>
        </w:rPr>
        <w:t xml:space="preserve"> same parameter set as before”</w:t>
      </w:r>
    </w:p>
    <w:p w14:paraId="66CA1D80" w14:textId="67D7A63E" w:rsidR="00911661" w:rsidRPr="00474BE5" w:rsidRDefault="00911661" w:rsidP="00474BE5">
      <w:pPr>
        <w:ind w:left="567" w:hanging="567"/>
      </w:pPr>
      <w:r>
        <w:rPr>
          <w:i/>
        </w:rPr>
        <w:t xml:space="preserve">C2: </w:t>
      </w:r>
      <w:r w:rsidRPr="00670C9C">
        <w:t xml:space="preserve">Pompous </w:t>
      </w:r>
      <w:r w:rsidR="00474BE5">
        <w:t xml:space="preserve">/ pontificating </w:t>
      </w:r>
      <w:r w:rsidRPr="00670C9C">
        <w:t>style: if something can be said in simple words, it sho</w:t>
      </w:r>
      <w:r w:rsidR="00670C9C" w:rsidRPr="00670C9C">
        <w:t xml:space="preserve">uld be said in simple words. </w:t>
      </w:r>
      <w:r w:rsidR="00474BE5">
        <w:t xml:space="preserve">Worse: if the only purpose of a sentence is to “sound scientific”, it should not be said at all. </w:t>
      </w:r>
      <w:r w:rsidR="00670C9C" w:rsidRPr="00670C9C">
        <w:t>Examples: do you really have to “</w:t>
      </w:r>
      <w:r w:rsidR="00670C9C" w:rsidRPr="00670C9C">
        <w:rPr>
          <w:b/>
          <w:i/>
          <w:u w:val="single"/>
        </w:rPr>
        <w:t>utilize</w:t>
      </w:r>
      <w:r w:rsidR="00670C9C" w:rsidRPr="00670C9C">
        <w:t>” ad method instead of “</w:t>
      </w:r>
      <w:r w:rsidR="00670C9C" w:rsidRPr="00670C9C">
        <w:rPr>
          <w:b/>
        </w:rPr>
        <w:t>using</w:t>
      </w:r>
      <w:r w:rsidR="00670C9C" w:rsidRPr="00670C9C">
        <w:t>” it? Do y</w:t>
      </w:r>
      <w:r w:rsidR="00670C9C">
        <w:t>ou have to do the analysis by</w:t>
      </w:r>
      <w:r w:rsidR="00670C9C" w:rsidRPr="00670C9C">
        <w:t xml:space="preserve"> “</w:t>
      </w:r>
      <w:r w:rsidR="00670C9C" w:rsidRPr="00670C9C">
        <w:rPr>
          <w:b/>
          <w:i/>
          <w:u w:val="single"/>
        </w:rPr>
        <w:t>using the model in an integrated framework to facilitate a holistic forecast</w:t>
      </w:r>
      <w:r w:rsidR="00670C9C" w:rsidRPr="00670C9C">
        <w:t>” instead of “</w:t>
      </w:r>
      <w:r w:rsidR="00670C9C" w:rsidRPr="00670C9C">
        <w:rPr>
          <w:b/>
        </w:rPr>
        <w:t>predicting from the model</w:t>
      </w:r>
      <w:r w:rsidR="00670C9C" w:rsidRPr="00670C9C">
        <w:t>”</w:t>
      </w:r>
      <w:r w:rsidR="00670C9C">
        <w:t xml:space="preserve">? Read </w:t>
      </w:r>
      <w:r w:rsidRPr="00911661">
        <w:rPr>
          <w:i/>
        </w:rPr>
        <w:t xml:space="preserve">Woodford, F. (1967) Sounder thinking through clearer writing. </w:t>
      </w:r>
      <w:proofErr w:type="gramStart"/>
      <w:r w:rsidRPr="00911661">
        <w:rPr>
          <w:i/>
          <w:iCs/>
        </w:rPr>
        <w:t xml:space="preserve">Science, </w:t>
      </w:r>
      <w:r w:rsidRPr="00911661">
        <w:rPr>
          <w:b/>
          <w:bCs/>
          <w:i/>
        </w:rPr>
        <w:t>156</w:t>
      </w:r>
      <w:r w:rsidRPr="00911661">
        <w:rPr>
          <w:i/>
        </w:rPr>
        <w:t>, 743.</w:t>
      </w:r>
      <w:proofErr w:type="gramEnd"/>
    </w:p>
    <w:p w14:paraId="72DAA5CB" w14:textId="77777777" w:rsidR="00911661" w:rsidRDefault="00911661" w:rsidP="00D87E65">
      <w:pPr>
        <w:ind w:left="567" w:hanging="567"/>
        <w:rPr>
          <w:i/>
        </w:rPr>
      </w:pPr>
      <w:r>
        <w:rPr>
          <w:i/>
        </w:rPr>
        <w:t>C3:</w:t>
      </w:r>
      <w:r w:rsidRPr="00911661">
        <w:t xml:space="preserve"> Topic position / </w:t>
      </w:r>
      <w:proofErr w:type="gramStart"/>
      <w:r w:rsidRPr="00911661">
        <w:t>Stress</w:t>
      </w:r>
      <w:proofErr w:type="gramEnd"/>
      <w:r w:rsidRPr="00911661">
        <w:t xml:space="preserve"> position nor properly occupied: The first part of a sentence should give the context. The last part of the sentence should provide the crucial new information, and should relate to what is further discussed. Read</w:t>
      </w:r>
      <w:r>
        <w:rPr>
          <w:i/>
        </w:rPr>
        <w:t xml:space="preserve"> </w:t>
      </w:r>
      <w:proofErr w:type="spellStart"/>
      <w:r w:rsidRPr="00911661">
        <w:rPr>
          <w:i/>
        </w:rPr>
        <w:t>Gopen</w:t>
      </w:r>
      <w:proofErr w:type="spellEnd"/>
      <w:r w:rsidRPr="00911661">
        <w:rPr>
          <w:i/>
        </w:rPr>
        <w:t xml:space="preserve">, G. D. &amp; Swan, J. A. (1990) The Science Of Scientific Writing. </w:t>
      </w:r>
      <w:r w:rsidRPr="00911661">
        <w:rPr>
          <w:i/>
          <w:iCs/>
        </w:rPr>
        <w:t xml:space="preserve">Am. Sci., </w:t>
      </w:r>
      <w:r w:rsidRPr="00911661">
        <w:rPr>
          <w:b/>
          <w:bCs/>
          <w:i/>
        </w:rPr>
        <w:t>78</w:t>
      </w:r>
      <w:r w:rsidRPr="00911661">
        <w:rPr>
          <w:i/>
        </w:rPr>
        <w:t>, 550-558.</w:t>
      </w:r>
    </w:p>
    <w:p w14:paraId="491744F9" w14:textId="77777777" w:rsidR="00503E4B" w:rsidRDefault="00503E4B" w:rsidP="00D87E65">
      <w:pPr>
        <w:ind w:left="567" w:hanging="567"/>
      </w:pPr>
      <w:r w:rsidRPr="00503E4B">
        <w:t xml:space="preserve">C4: </w:t>
      </w:r>
      <w:r>
        <w:t>Paragraph structure</w:t>
      </w:r>
      <w:r w:rsidRPr="00503E4B">
        <w:t xml:space="preserve">: A paragraph structures the text into topical units. Use them! Each paragraph should introduce its topic in the beginning, and ideally lead to some conclusion or summary at the end. </w:t>
      </w:r>
    </w:p>
    <w:p w14:paraId="1CBDD169" w14:textId="2C14C2B3" w:rsidR="00C66D43" w:rsidRDefault="00474BE5" w:rsidP="00143B42">
      <w:pPr>
        <w:ind w:left="567" w:hanging="567"/>
        <w:rPr>
          <w:bCs/>
          <w:i/>
        </w:rPr>
      </w:pPr>
      <w:r>
        <w:lastRenderedPageBreak/>
        <w:t>C5</w:t>
      </w:r>
      <w:r w:rsidR="00143B42">
        <w:t xml:space="preserve">: Unnecessary adjectives. </w:t>
      </w:r>
      <w:r>
        <w:t xml:space="preserve">Mark Twain: </w:t>
      </w:r>
      <w:r w:rsidR="00143B42" w:rsidRPr="00143B42">
        <w:rPr>
          <w:i/>
        </w:rPr>
        <w:t>“</w:t>
      </w:r>
      <w:r w:rsidR="00143B42" w:rsidRPr="00143B42">
        <w:rPr>
          <w:bCs/>
          <w:i/>
        </w:rPr>
        <w:t>As to the adjective: when in do</w:t>
      </w:r>
      <w:r w:rsidR="00FC19A9">
        <w:rPr>
          <w:bCs/>
          <w:i/>
        </w:rPr>
        <w:t>ubt, strike it out</w:t>
      </w:r>
      <w:r w:rsidR="00FC19A9">
        <w:rPr>
          <w:bCs/>
        </w:rPr>
        <w:t xml:space="preserve">.” Especially adjectives such as “very”, “particularly” are often not necessary. </w:t>
      </w:r>
      <w:r w:rsidR="00FC19A9" w:rsidRPr="00FC19A9">
        <w:rPr>
          <w:bCs/>
        </w:rPr>
        <w:t>Applies also to larger constructs such as</w:t>
      </w:r>
      <w:r w:rsidR="00FC19A9">
        <w:rPr>
          <w:bCs/>
          <w:i/>
        </w:rPr>
        <w:t xml:space="preserve"> “</w:t>
      </w:r>
      <w:r w:rsidR="00FC19A9" w:rsidRPr="00FC19A9">
        <w:rPr>
          <w:bCs/>
          <w:i/>
        </w:rPr>
        <w:t xml:space="preserve">Evolutionary Game Theory </w:t>
      </w:r>
      <w:r w:rsidR="00FC19A9" w:rsidRPr="00FC19A9">
        <w:rPr>
          <w:b/>
          <w:bCs/>
          <w:i/>
          <w:u w:val="single"/>
        </w:rPr>
        <w:t>is an important tool to</w:t>
      </w:r>
      <w:r w:rsidR="00FC19A9" w:rsidRPr="00FC19A9">
        <w:rPr>
          <w:bCs/>
          <w:i/>
        </w:rPr>
        <w:t xml:space="preserve"> investigate</w:t>
      </w:r>
      <w:r w:rsidR="00FC19A9">
        <w:rPr>
          <w:bCs/>
          <w:i/>
        </w:rPr>
        <w:t xml:space="preserve"> …” – if you erase the underlined text, the sentence remains fine.</w:t>
      </w:r>
    </w:p>
    <w:p w14:paraId="0E3B677A" w14:textId="16ADDE5F" w:rsidR="00143B42" w:rsidRPr="00143B42" w:rsidRDefault="00143B42" w:rsidP="00143B42">
      <w:pPr>
        <w:ind w:left="567" w:hanging="567"/>
        <w:rPr>
          <w:bCs/>
          <w:lang w:val="de-DE"/>
        </w:rPr>
      </w:pPr>
      <w:r w:rsidRPr="00143B42">
        <w:t>C6:</w:t>
      </w:r>
      <w:r w:rsidRPr="00143B42">
        <w:rPr>
          <w:bCs/>
        </w:rPr>
        <w:t xml:space="preserve"> Unclear</w:t>
      </w:r>
      <w:r>
        <w:rPr>
          <w:bCs/>
        </w:rPr>
        <w:t xml:space="preserve"> / </w:t>
      </w:r>
      <w:proofErr w:type="spellStart"/>
      <w:r>
        <w:rPr>
          <w:bCs/>
        </w:rPr>
        <w:t>ambigous</w:t>
      </w:r>
      <w:proofErr w:type="spellEnd"/>
      <w:r>
        <w:rPr>
          <w:bCs/>
        </w:rPr>
        <w:t xml:space="preserve"> expressions. Write as clear and as informative as possible. Avoid ambiguous worlds like “tends to”, ”mostly” etc. if you can make a definite statement. Example: “the </w:t>
      </w:r>
      <w:r w:rsidRPr="00143B42">
        <w:rPr>
          <w:bCs/>
        </w:rPr>
        <w:t xml:space="preserve">frequency of cooperators always </w:t>
      </w:r>
      <w:r w:rsidRPr="00143B42">
        <w:rPr>
          <w:b/>
          <w:bCs/>
          <w:u w:val="single"/>
        </w:rPr>
        <w:t>tends</w:t>
      </w:r>
      <w:r w:rsidRPr="00143B42">
        <w:rPr>
          <w:bCs/>
        </w:rPr>
        <w:t xml:space="preserve"> to be zero</w:t>
      </w:r>
      <w:proofErr w:type="gramStart"/>
      <w:r>
        <w:rPr>
          <w:bCs/>
        </w:rPr>
        <w:t xml:space="preserve">”  </w:t>
      </w:r>
      <w:proofErr w:type="gramEnd"/>
      <w:r w:rsidRPr="00143B42">
        <w:rPr>
          <w:bCs/>
        </w:rPr>
        <w:sym w:font="Wingdings" w:char="F0E0"/>
      </w:r>
      <w:r>
        <w:rPr>
          <w:bCs/>
        </w:rPr>
        <w:t xml:space="preserve"> what does that mean? 1) It was always zero 2) It was zero in 95 % of the cases 3) something else</w:t>
      </w:r>
    </w:p>
    <w:p w14:paraId="39177187" w14:textId="3B70833B" w:rsidR="00C66D43" w:rsidRDefault="00D87E65" w:rsidP="00C66D43">
      <w:pPr>
        <w:pStyle w:val="Listenabsatz"/>
        <w:ind w:left="0"/>
        <w:rPr>
          <w:b/>
        </w:rPr>
      </w:pPr>
      <w:r>
        <w:rPr>
          <w:b/>
        </w:rPr>
        <w:t>D) Grammar and s</w:t>
      </w:r>
      <w:r w:rsidR="00C66D43" w:rsidRPr="00C66D43">
        <w:rPr>
          <w:b/>
        </w:rPr>
        <w:t xml:space="preserve">pelling </w:t>
      </w:r>
    </w:p>
    <w:p w14:paraId="536B0D5A" w14:textId="77777777" w:rsidR="00C66D43" w:rsidRDefault="00C66D43" w:rsidP="00C66D43">
      <w:pPr>
        <w:pStyle w:val="Listenabsatz"/>
        <w:ind w:left="0"/>
        <w:rPr>
          <w:b/>
        </w:rPr>
      </w:pPr>
    </w:p>
    <w:p w14:paraId="4CEC1035" w14:textId="77777777" w:rsidR="00C66D43" w:rsidRDefault="00C66D43" w:rsidP="00C66D43">
      <w:pPr>
        <w:pStyle w:val="Listenabsatz"/>
        <w:ind w:left="0"/>
      </w:pPr>
      <w:r w:rsidRPr="00C66D43">
        <w:t xml:space="preserve">D1: Commas: read </w:t>
      </w:r>
      <w:hyperlink r:id="rId6" w:history="1">
        <w:r w:rsidR="009F6272" w:rsidRPr="00D0022E">
          <w:rPr>
            <w:rStyle w:val="Link"/>
          </w:rPr>
          <w:t>http://www.grammarbook.com/punctuation/commas.asp</w:t>
        </w:r>
      </w:hyperlink>
    </w:p>
    <w:p w14:paraId="1736AB48" w14:textId="77777777" w:rsidR="009F6272" w:rsidRDefault="009F6272" w:rsidP="00C66D43">
      <w:pPr>
        <w:pStyle w:val="Listenabsatz"/>
        <w:ind w:left="0"/>
      </w:pPr>
    </w:p>
    <w:p w14:paraId="27559D75" w14:textId="77777777" w:rsidR="009F6272" w:rsidRDefault="009F6272" w:rsidP="00C66D43">
      <w:pPr>
        <w:pStyle w:val="Listenabsatz"/>
        <w:ind w:left="0"/>
      </w:pPr>
    </w:p>
    <w:p w14:paraId="1A86631A" w14:textId="77777777" w:rsidR="009F6272" w:rsidRPr="009F6272" w:rsidRDefault="009F6272" w:rsidP="009F6272">
      <w:pPr>
        <w:rPr>
          <w:b/>
        </w:rPr>
      </w:pPr>
      <w:r w:rsidRPr="009F6272">
        <w:rPr>
          <w:b/>
        </w:rPr>
        <w:t xml:space="preserve">G) </w:t>
      </w:r>
      <w:r>
        <w:rPr>
          <w:b/>
        </w:rPr>
        <w:t>Other g</w:t>
      </w:r>
      <w:r w:rsidRPr="009F6272">
        <w:rPr>
          <w:b/>
        </w:rPr>
        <w:t>eneral observations:</w:t>
      </w:r>
    </w:p>
    <w:p w14:paraId="3094AEDE" w14:textId="77777777" w:rsidR="009F6272" w:rsidRDefault="009F6272" w:rsidP="00F92A44">
      <w:pPr>
        <w:ind w:left="567" w:hanging="567"/>
      </w:pPr>
      <w:r>
        <w:t xml:space="preserve">G1: In the abstract, nearly all essays started with a (mostly too long) description of what EGT is, but then failed to give a reason for why one would like to study spatial structure.  </w:t>
      </w:r>
    </w:p>
    <w:p w14:paraId="7505C8F2" w14:textId="260BC794" w:rsidR="00DE1B9D" w:rsidRDefault="00DE1B9D" w:rsidP="00F92A44">
      <w:pPr>
        <w:ind w:left="567" w:hanging="567"/>
      </w:pPr>
      <w:r>
        <w:t>G2: Results are different to the paper, but you state they are the same</w:t>
      </w:r>
    </w:p>
    <w:p w14:paraId="58F5A47E" w14:textId="77777777" w:rsidR="008F0539" w:rsidRDefault="008F0539" w:rsidP="00F92A44">
      <w:pPr>
        <w:ind w:left="567" w:hanging="567"/>
      </w:pPr>
    </w:p>
    <w:p w14:paraId="62B45AB3" w14:textId="77777777" w:rsidR="008F0539" w:rsidRDefault="008F0539" w:rsidP="00F92A44">
      <w:pPr>
        <w:ind w:left="567" w:hanging="567"/>
      </w:pPr>
    </w:p>
    <w:p w14:paraId="3C087891" w14:textId="77777777" w:rsidR="008F0539" w:rsidRDefault="008F0539" w:rsidP="00F92A44">
      <w:pPr>
        <w:ind w:left="567" w:hanging="567"/>
      </w:pPr>
    </w:p>
    <w:p w14:paraId="2C062FF7" w14:textId="10ADFB7D" w:rsidR="008F0539" w:rsidRPr="008F0539" w:rsidRDefault="008F0539" w:rsidP="00F92A44">
      <w:pPr>
        <w:ind w:left="567" w:hanging="567"/>
        <w:rPr>
          <w:b/>
          <w:u w:val="single"/>
        </w:rPr>
      </w:pPr>
      <w:r w:rsidRPr="008F0539">
        <w:rPr>
          <w:b/>
          <w:u w:val="single"/>
        </w:rPr>
        <w:t>Word choice</w:t>
      </w:r>
    </w:p>
    <w:p w14:paraId="7D95A381" w14:textId="6E1AC79F" w:rsidR="008F0539" w:rsidRDefault="008F0539" w:rsidP="00F92A44">
      <w:pPr>
        <w:ind w:left="567" w:hanging="567"/>
      </w:pPr>
      <w:proofErr w:type="gramStart"/>
      <w:r>
        <w:t>use</w:t>
      </w:r>
      <w:proofErr w:type="gramEnd"/>
      <w:r>
        <w:t xml:space="preserve"> </w:t>
      </w:r>
      <w:proofErr w:type="spellStart"/>
      <w:r>
        <w:t>vs</w:t>
      </w:r>
      <w:proofErr w:type="spellEnd"/>
      <w:r>
        <w:t xml:space="preserve"> utilize </w:t>
      </w:r>
      <w:r>
        <w:sym w:font="Wingdings" w:char="F0E0"/>
      </w:r>
      <w:r>
        <w:t xml:space="preserve"> prefer use </w:t>
      </w:r>
      <w:hyperlink r:id="rId7" w:history="1">
        <w:r w:rsidRPr="00D0022E">
          <w:rPr>
            <w:rStyle w:val="Link"/>
          </w:rPr>
          <w:t>http://en.wiktionary.org/wiki/utilise#Usage_notes</w:t>
        </w:r>
      </w:hyperlink>
      <w:r>
        <w:t xml:space="preserve"> </w:t>
      </w:r>
    </w:p>
    <w:p w14:paraId="53054CFE" w14:textId="77777777" w:rsidR="009F6272" w:rsidRDefault="009F6272" w:rsidP="009F6272"/>
    <w:p w14:paraId="0D679E05" w14:textId="77777777" w:rsidR="009F6272" w:rsidRPr="00C66D43" w:rsidRDefault="009F6272" w:rsidP="00C66D43">
      <w:pPr>
        <w:pStyle w:val="Listenabsatz"/>
        <w:ind w:left="0"/>
      </w:pPr>
    </w:p>
    <w:sectPr w:rsidR="009F6272" w:rsidRPr="00C66D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51FB5"/>
    <w:multiLevelType w:val="hybridMultilevel"/>
    <w:tmpl w:val="DD4437FC"/>
    <w:lvl w:ilvl="0" w:tplc="E4DC830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C8A5D1F"/>
    <w:multiLevelType w:val="hybridMultilevel"/>
    <w:tmpl w:val="8410E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DB7511F"/>
    <w:multiLevelType w:val="multilevel"/>
    <w:tmpl w:val="0407001D"/>
    <w:styleLink w:val="A"/>
    <w:lvl w:ilvl="0">
      <w:start w:val="1"/>
      <w:numFmt w:val="upperLetter"/>
      <w:lvlText w:val="%1)"/>
      <w:lvlJc w:val="left"/>
      <w:pPr>
        <w:ind w:left="360" w:hanging="360"/>
      </w:pPr>
    </w:lvl>
    <w:lvl w:ilvl="1">
      <w:start w:val="1"/>
      <w:numFmt w:val="decimal"/>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4FE178D"/>
    <w:multiLevelType w:val="hybridMultilevel"/>
    <w:tmpl w:val="831EA10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90566C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B6E5C32"/>
    <w:multiLevelType w:val="hybridMultilevel"/>
    <w:tmpl w:val="67C8E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12E638A"/>
    <w:multiLevelType w:val="hybridMultilevel"/>
    <w:tmpl w:val="5BAC69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D93338B"/>
    <w:multiLevelType w:val="multilevel"/>
    <w:tmpl w:val="0407001D"/>
    <w:numStyleLink w:val="A"/>
  </w:abstractNum>
  <w:num w:numId="1">
    <w:abstractNumId w:val="6"/>
  </w:num>
  <w:num w:numId="2">
    <w:abstractNumId w:val="3"/>
  </w:num>
  <w:num w:numId="3">
    <w:abstractNumId w:val="0"/>
  </w:num>
  <w:num w:numId="4">
    <w:abstractNumId w:val="2"/>
  </w:num>
  <w:num w:numId="5">
    <w:abstractNumId w:val="7"/>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134"/>
    <w:rsid w:val="000406B3"/>
    <w:rsid w:val="000E3CFA"/>
    <w:rsid w:val="00143B42"/>
    <w:rsid w:val="00193A28"/>
    <w:rsid w:val="0019690D"/>
    <w:rsid w:val="00235F6C"/>
    <w:rsid w:val="0024701F"/>
    <w:rsid w:val="00415BD0"/>
    <w:rsid w:val="00474BE5"/>
    <w:rsid w:val="004F76B2"/>
    <w:rsid w:val="00503E4B"/>
    <w:rsid w:val="00604929"/>
    <w:rsid w:val="00670C9C"/>
    <w:rsid w:val="007628B8"/>
    <w:rsid w:val="007900F7"/>
    <w:rsid w:val="007A5BD3"/>
    <w:rsid w:val="007E138E"/>
    <w:rsid w:val="008651AD"/>
    <w:rsid w:val="008F0539"/>
    <w:rsid w:val="00911661"/>
    <w:rsid w:val="009A6E82"/>
    <w:rsid w:val="009F6272"/>
    <w:rsid w:val="00A807F4"/>
    <w:rsid w:val="00C66D43"/>
    <w:rsid w:val="00D61400"/>
    <w:rsid w:val="00D87E65"/>
    <w:rsid w:val="00DE1B9D"/>
    <w:rsid w:val="00DF0134"/>
    <w:rsid w:val="00E700A0"/>
    <w:rsid w:val="00F92A44"/>
    <w:rsid w:val="00FC19A9"/>
    <w:rsid w:val="00FF0A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81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143B4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F0134"/>
    <w:pPr>
      <w:ind w:left="720"/>
      <w:contextualSpacing/>
    </w:pPr>
  </w:style>
  <w:style w:type="numbering" w:customStyle="1" w:styleId="A">
    <w:name w:val="A"/>
    <w:uiPriority w:val="99"/>
    <w:rsid w:val="00DF0134"/>
    <w:pPr>
      <w:numPr>
        <w:numId w:val="4"/>
      </w:numPr>
    </w:pPr>
  </w:style>
  <w:style w:type="character" w:styleId="Link">
    <w:name w:val="Hyperlink"/>
    <w:basedOn w:val="Absatzstandardschriftart"/>
    <w:uiPriority w:val="99"/>
    <w:unhideWhenUsed/>
    <w:rsid w:val="009F6272"/>
    <w:rPr>
      <w:color w:val="0000FF" w:themeColor="hyperlink"/>
      <w:u w:val="single"/>
    </w:rPr>
  </w:style>
  <w:style w:type="character" w:customStyle="1" w:styleId="berschrift1Zeichen">
    <w:name w:val="Überschrift 1 Zeichen"/>
    <w:basedOn w:val="Absatzstandardschriftart"/>
    <w:link w:val="berschrift1"/>
    <w:uiPriority w:val="9"/>
    <w:rsid w:val="00143B42"/>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143B4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F0134"/>
    <w:pPr>
      <w:ind w:left="720"/>
      <w:contextualSpacing/>
    </w:pPr>
  </w:style>
  <w:style w:type="numbering" w:customStyle="1" w:styleId="A">
    <w:name w:val="A"/>
    <w:uiPriority w:val="99"/>
    <w:rsid w:val="00DF0134"/>
    <w:pPr>
      <w:numPr>
        <w:numId w:val="4"/>
      </w:numPr>
    </w:pPr>
  </w:style>
  <w:style w:type="character" w:styleId="Link">
    <w:name w:val="Hyperlink"/>
    <w:basedOn w:val="Absatzstandardschriftart"/>
    <w:uiPriority w:val="99"/>
    <w:unhideWhenUsed/>
    <w:rsid w:val="009F6272"/>
    <w:rPr>
      <w:color w:val="0000FF" w:themeColor="hyperlink"/>
      <w:u w:val="single"/>
    </w:rPr>
  </w:style>
  <w:style w:type="character" w:customStyle="1" w:styleId="berschrift1Zeichen">
    <w:name w:val="Überschrift 1 Zeichen"/>
    <w:basedOn w:val="Absatzstandardschriftart"/>
    <w:link w:val="berschrift1"/>
    <w:uiPriority w:val="9"/>
    <w:rsid w:val="00143B4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83907">
      <w:bodyDiv w:val="1"/>
      <w:marLeft w:val="0"/>
      <w:marRight w:val="0"/>
      <w:marTop w:val="0"/>
      <w:marBottom w:val="0"/>
      <w:divBdr>
        <w:top w:val="none" w:sz="0" w:space="0" w:color="auto"/>
        <w:left w:val="none" w:sz="0" w:space="0" w:color="auto"/>
        <w:bottom w:val="none" w:sz="0" w:space="0" w:color="auto"/>
        <w:right w:val="none" w:sz="0" w:space="0" w:color="auto"/>
      </w:divBdr>
    </w:div>
    <w:div w:id="296760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rammarbook.com/punctuation/commas.asp" TargetMode="External"/><Relationship Id="rId7" Type="http://schemas.openxmlformats.org/officeDocument/2006/relationships/hyperlink" Target="http://en.wiktionary.org/wiki/utilise#Usage_note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3447</Characters>
  <Application>Microsoft Macintosh Word</Application>
  <DocSecurity>0</DocSecurity>
  <Lines>28</Lines>
  <Paragraphs>7</Paragraphs>
  <ScaleCrop>false</ScaleCrop>
  <Company/>
  <LinksUpToDate>false</LinksUpToDate>
  <CharactersWithSpaces>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Hartig</dc:creator>
  <cp:keywords/>
  <dc:description/>
  <cp:lastModifiedBy>Florian Hartig</cp:lastModifiedBy>
  <cp:revision>15</cp:revision>
  <dcterms:created xsi:type="dcterms:W3CDTF">2015-01-31T16:43:00Z</dcterms:created>
  <dcterms:modified xsi:type="dcterms:W3CDTF">2015-02-06T12:20:00Z</dcterms:modified>
</cp:coreProperties>
</file>