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SQA y pruebas ágiles de Hotel Andes</w:t>
      </w:r>
    </w:p>
    <w:p>
      <w:r>
        <w:t>Este plan define cómo comprobamos la calidad del prototipo web de reservas de Hotel Andes. La prioridad es que una reserva respete las fechas, la capacidad, el inventario y el importe, y que cada visitante consulte únicamente sus propios datos.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2880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Control del documento</w:t>
            </w:r>
          </w:p>
        </w:tc>
        <w:tc>
          <w:tcPr>
            <w:tcW w:type="dxa" w:w="6912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Dato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Código y versión</w:t>
            </w:r>
          </w:p>
        </w:tc>
        <w:tc>
          <w:tcPr>
            <w:tcW w:type="dxa" w:w="691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SQA HA 1.0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Fecha de corte</w:t>
            </w:r>
          </w:p>
        </w:tc>
        <w:tc>
          <w:tcPr>
            <w:tcW w:type="dxa" w:w="691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27 de octubre de 2026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Equipo</w:t>
            </w:r>
          </w:p>
        </w:tc>
        <w:tc>
          <w:tcPr>
            <w:tcW w:type="dxa" w:w="691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Josue Padilla · Santiago Roca · Karen Caral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Marco de trabajo</w:t>
            </w:r>
          </w:p>
        </w:tc>
        <w:tc>
          <w:tcPr>
            <w:tcW w:type="dxa" w:w="691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Scrum académico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Iteración</w:t>
            </w:r>
          </w:p>
        </w:tc>
        <w:tc>
          <w:tcPr>
            <w:tcW w:type="dxa" w:w="691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Sprint SQA 01 de consolidación y pruebas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Estado</w:t>
            </w:r>
          </w:p>
        </w:tc>
        <w:tc>
          <w:tcPr>
            <w:tcW w:type="dxa" w:w="691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Preparado para revisión del equipo</w:t>
            </w:r>
          </w:p>
        </w:tc>
      </w:tr>
    </w:tbl>
    <w:p>
      <w:pPr>
        <w:spacing w:after="0"/>
      </w:pPr>
    </w:p>
    <w:p>
      <w:pPr>
        <w:pStyle w:val="Heading1"/>
      </w:pPr>
      <w:r>
        <w:t>1 Introducción</w:t>
      </w:r>
    </w:p>
    <w:p>
      <w:r>
        <w:t>Integramos SQA, o aseguramiento de la calidad del software, al trabajo del sprint mediante criterios claros, revisiones, pruebas repetibles y seguimiento de defectos. El control de calidad se concreta en ejecutar las pruebas y comprobar sus resultados. La mejora continua usa los hallazgos para ajustar el siguiente ciclo.</w:t>
      </w:r>
    </w:p>
    <w:p>
      <w:r>
        <w:t>Esta versión formaliza la estrategia de calidad del avance implementado. El README y las pruebas existentes constituyen la referencia técnica del punto de partida. La comparación siguiente describe la actualización de las prácticas del proyecto.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3888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Práctica de partida</w:t>
            </w:r>
          </w:p>
        </w:tc>
        <w:tc>
          <w:tcPr>
            <w:tcW w:type="dxa" w:w="5904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Actualización incorporada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Reglas y API con pruebas locales</w:t>
            </w:r>
          </w:p>
        </w:tc>
        <w:tc>
          <w:tcPr>
            <w:tcW w:type="dxa" w:w="590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Añadir aceptación con Cypress y Selenium en Chrome.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Comprobaciones descritas en README</w:t>
            </w:r>
          </w:p>
        </w:tc>
        <w:tc>
          <w:tcPr>
            <w:tcW w:type="dxa" w:w="590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Vincular historias, criterios, pruebas y evidencias.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Ejecución desde el equipo local</w:t>
            </w:r>
          </w:p>
        </w:tc>
        <w:tc>
          <w:tcPr>
            <w:tcW w:type="dxa" w:w="590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Configurar integración continua en GitHub Actions.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Seguimiento sin tablero del proyecto</w:t>
            </w:r>
          </w:p>
        </w:tc>
        <w:tc>
          <w:tcPr>
            <w:tcW w:type="dxa" w:w="590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Crear tablero Scrum con pruebas y revisión del equipo.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Resultados dispersos</w:t>
            </w:r>
          </w:p>
        </w:tc>
        <w:tc>
          <w:tcPr>
            <w:tcW w:type="dxa" w:w="590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Conservar métricas, capturas y auditoría en el repositorio.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 Alcance del sprint</w:t>
      </w:r>
    </w:p>
    <w:p>
      <w:r>
        <w:t>El sprint de calidad cubre el recorrido de búsqueda, confirmación, consulta y cancelación de reservas. El incremento es un prototipo académico funcional; el objetivo de aceptación es demostrar sus reglas y su trazabilidad.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936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5616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Funcionalidad y valor</w:t>
            </w:r>
          </w:p>
        </w:tc>
        <w:tc>
          <w:tcPr>
            <w:tcW w:type="dxa" w:w="2088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Criterios</w:t>
            </w:r>
          </w:p>
        </w:tc>
        <w:tc>
          <w:tcPr>
            <w:tcW w:type="dxa" w:w="1152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Prioridad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HU01</w:t>
            </w:r>
          </w:p>
        </w:tc>
        <w:tc>
          <w:tcPr>
            <w:tcW w:type="dxa" w:w="561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Consultar fechas y huéspedes para elegir habitación disponible</w:t>
            </w:r>
          </w:p>
        </w:tc>
        <w:tc>
          <w:tcPr>
            <w:tcW w:type="dxa" w:w="208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CA01 CA02 CA05</w:t>
            </w:r>
          </w:p>
        </w:tc>
        <w:tc>
          <w:tcPr>
            <w:tcW w:type="dxa" w:w="115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HU02</w:t>
            </w:r>
          </w:p>
        </w:tc>
        <w:tc>
          <w:tcPr>
            <w:tcW w:type="dxa" w:w="561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Confirmar la reserva con código y precio correcto sin duplicados</w:t>
            </w:r>
          </w:p>
        </w:tc>
        <w:tc>
          <w:tcPr>
            <w:tcW w:type="dxa" w:w="208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CA01 CA06 CA07</w:t>
            </w:r>
          </w:p>
        </w:tc>
        <w:tc>
          <w:tcPr>
            <w:tcW w:type="dxa" w:w="115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HU03</w:t>
            </w:r>
          </w:p>
        </w:tc>
        <w:tc>
          <w:tcPr>
            <w:tcW w:type="dxa" w:w="561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Respetar el inventario ante reservas simultáneas</w:t>
            </w:r>
          </w:p>
        </w:tc>
        <w:tc>
          <w:tcPr>
            <w:tcW w:type="dxa" w:w="208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CA03 CA04</w:t>
            </w:r>
          </w:p>
        </w:tc>
        <w:tc>
          <w:tcPr>
            <w:tcW w:type="dxa" w:w="115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Crítica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HU04</w:t>
            </w:r>
          </w:p>
        </w:tc>
        <w:tc>
          <w:tcPr>
            <w:tcW w:type="dxa" w:w="561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Consultar y cancelar únicamente las reservas propias</w:t>
            </w:r>
          </w:p>
        </w:tc>
        <w:tc>
          <w:tcPr>
            <w:tcW w:type="dxa" w:w="208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CA08 CA09</w:t>
            </w:r>
          </w:p>
        </w:tc>
        <w:tc>
          <w:tcPr>
            <w:tcW w:type="dxa" w:w="115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HU05</w:t>
            </w:r>
          </w:p>
        </w:tc>
        <w:tc>
          <w:tcPr>
            <w:tcW w:type="dxa" w:w="561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Descargar un comprobante de demostración</w:t>
            </w:r>
          </w:p>
        </w:tc>
        <w:tc>
          <w:tcPr>
            <w:tcW w:type="dxa" w:w="208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CA10</w:t>
            </w:r>
          </w:p>
        </w:tc>
        <w:tc>
          <w:tcPr>
            <w:tcW w:type="dxa" w:w="115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Media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HU06</w:t>
            </w:r>
          </w:p>
        </w:tc>
        <w:tc>
          <w:tcPr>
            <w:tcW w:type="dxa" w:w="561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Consultar catálogo y navegar desde móvil</w:t>
            </w:r>
          </w:p>
        </w:tc>
        <w:tc>
          <w:tcPr>
            <w:tcW w:type="dxa" w:w="208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CA11</w:t>
            </w:r>
          </w:p>
        </w:tc>
        <w:tc>
          <w:tcPr>
            <w:tcW w:type="dxa" w:w="115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Media</w:t>
            </w:r>
          </w:p>
        </w:tc>
      </w:tr>
    </w:tbl>
    <w:p>
      <w:pPr>
        <w:spacing w:after="0"/>
      </w:pPr>
    </w:p>
    <w:p>
      <w:pPr>
        <w:pStyle w:val="Heading1"/>
      </w:pPr>
      <w:r>
        <w:t>Inventario y reglas del dominio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3312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1296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Unidades</w:t>
            </w:r>
          </w:p>
        </w:tc>
        <w:tc>
          <w:tcPr>
            <w:tcW w:type="dxa" w:w="2448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Capacidad</w:t>
            </w:r>
          </w:p>
        </w:tc>
        <w:tc>
          <w:tcPr>
            <w:tcW w:type="dxa" w:w="2736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Tarifa por noche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Andina</w:t>
            </w:r>
          </w:p>
        </w:tc>
        <w:tc>
          <w:tcPr>
            <w:tcW w:type="dxa" w:w="129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44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2 huéspedes</w:t>
            </w:r>
          </w:p>
        </w:tc>
        <w:tc>
          <w:tcPr>
            <w:tcW w:type="dxa" w:w="273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Bs 520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Panorámica</w:t>
            </w:r>
          </w:p>
        </w:tc>
        <w:tc>
          <w:tcPr>
            <w:tcW w:type="dxa" w:w="129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2 huéspedes</w:t>
            </w:r>
          </w:p>
        </w:tc>
        <w:tc>
          <w:tcPr>
            <w:tcW w:type="dxa" w:w="273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Bs 680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Familiar</w:t>
            </w:r>
          </w:p>
        </w:tc>
        <w:tc>
          <w:tcPr>
            <w:tcW w:type="dxa" w:w="129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4 huéspedes</w:t>
            </w:r>
          </w:p>
        </w:tc>
        <w:tc>
          <w:tcPr>
            <w:tcW w:type="dxa" w:w="273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Bs 840</w:t>
            </w:r>
          </w:p>
        </w:tc>
      </w:tr>
    </w:tbl>
    <w:p>
      <w:pPr>
        <w:spacing w:after="0"/>
      </w:pPr>
    </w:p>
    <w:p>
      <w:r>
        <w:t>La estancia incluye la llegada y excluye la salida, por lo que una reserva puede comenzar el día de salida de otra. Se admiten de 1 a 4 huéspedes, hasta 30 noches y hasta 365 días de anticipación. El total corresponde a tarifa por noche multiplicada por noches y se calcula en el servidor.</w:t>
      </w:r>
    </w:p>
    <w:p>
      <w:pPr>
        <w:pStyle w:val="Heading1"/>
      </w:pPr>
      <w:r>
        <w:t>Artefactos sometidos a pruebas</w:t>
      </w:r>
    </w:p>
    <w:p>
      <w:pPr>
        <w:pStyle w:val="ListBullet"/>
      </w:pPr>
      <w:r>
        <w:t>Interfaz React y CSS adaptable: catálogo, buscador, diálogos y menú móvil.</w:t>
      </w:r>
    </w:p>
    <w:p>
      <w:pPr>
        <w:pStyle w:val="ListBullet"/>
      </w:pPr>
      <w:r>
        <w:t>API de disponibilidad y reservas, reglas de fechas y operaciones de cancelación.</w:t>
      </w:r>
    </w:p>
    <w:p>
      <w:pPr>
        <w:pStyle w:val="ListBullet"/>
      </w:pPr>
      <w:r>
        <w:t>Esquema D1 y consultas de asignación de habitaciones, junto con las pruebas y el flujo de CI.</w:t>
      </w:r>
    </w:p>
    <w:p>
      <w:pPr>
        <w:pStyle w:val="Heading1"/>
      </w:pPr>
      <w:r>
        <w:t>Fuera del alcance de esta entrega</w:t>
      </w:r>
    </w:p>
    <w:p>
      <w:r>
        <w:t>Pagos, envío de correos, cuentas comerciales, administración hotelera y operación con clientes reales. La revisión cubre controles básicos de privacidad y navegación; una auditoría completa de seguridad, accesibilidad y carga queda como mejora.</w:t>
      </w:r>
    </w:p>
    <w:p>
      <w:r>
        <w:t>La matriz adjunta matriz_trazabilidad.csv detalla los once criterios CA01 a CA11, sus pasos, resultados esperados y pruebas asociadas.</w:t>
      </w:r>
    </w:p>
    <w:p>
      <w:r>
        <w:br w:type="page"/>
      </w:r>
    </w:p>
    <w:p>
      <w:pPr>
        <w:pStyle w:val="Heading1"/>
      </w:pPr>
      <w:r>
        <w:t>3 Estrategia de pruebas</w:t>
      </w:r>
    </w:p>
    <w:p>
      <w:r>
        <w:t>Priorizamos los riesgos de pérdida de disponibilidad, sobreventa, acceso ajeno y precios incorrectos. Ejecutamos primero reglas y API; después comprobamos los recorridos visibles. La regresión se repite cuando cambia código relacionado o se corrige un defecto.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656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Nivel</w:t>
            </w:r>
          </w:p>
        </w:tc>
        <w:tc>
          <w:tcPr>
            <w:tcW w:type="dxa" w:w="5472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Herramienta y alcance</w:t>
            </w:r>
          </w:p>
        </w:tc>
        <w:tc>
          <w:tcPr>
            <w:tcW w:type="dxa" w:w="2664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Unitarias</w:t>
            </w:r>
          </w:p>
        </w:tc>
        <w:tc>
          <w:tcPr>
            <w:tcW w:type="dxa" w:w="547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Node test verifica fechas, límites y cálculo de noches.</w:t>
            </w:r>
          </w:p>
        </w:tc>
        <w:tc>
          <w:tcPr>
            <w:tcW w:type="dxa" w:w="266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8 pruebas; unit.log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Integración</w:t>
            </w:r>
          </w:p>
        </w:tc>
        <w:tc>
          <w:tcPr>
            <w:tcW w:type="dxa" w:w="547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Node y fetch verifican API, D1, idempotencia y concurrencia.</w:t>
            </w:r>
          </w:p>
        </w:tc>
        <w:tc>
          <w:tcPr>
            <w:tcW w:type="dxa" w:w="266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6 grupos; api.log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Aceptación BDD</w:t>
            </w:r>
          </w:p>
        </w:tc>
        <w:tc>
          <w:tcPr>
            <w:tcW w:type="dxa" w:w="547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Cypress 16.2.0 ejecuta búsqueda, reserva, descarga, cancelación y rechazos.</w:t>
            </w:r>
          </w:p>
        </w:tc>
        <w:tc>
          <w:tcPr>
            <w:tcW w:type="dxa" w:w="266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6 casos; results.json y capturas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Interfaz y adaptación</w:t>
            </w:r>
          </w:p>
        </w:tc>
        <w:tc>
          <w:tcPr>
            <w:tcW w:type="dxa" w:w="547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Selenium WebDriver 4.51.0 verifica catálogo, detalle con Escape, filtro y menú móvil.</w:t>
            </w:r>
          </w:p>
        </w:tc>
        <w:tc>
          <w:tcPr>
            <w:tcW w:type="dxa" w:w="266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4 casos; results.json y capturas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Exploratorias y revisión</w:t>
            </w:r>
          </w:p>
        </w:tc>
        <w:tc>
          <w:tcPr>
            <w:tcW w:type="dxa" w:w="547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El equipo revisa claridad de mensajes, contenido y aspectos no automatizados.</w:t>
            </w:r>
          </w:p>
        </w:tc>
        <w:tc>
          <w:tcPr>
            <w:tcW w:type="dxa" w:w="266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Observaciones en Trello; revisión grupal pendiente</w:t>
            </w:r>
          </w:p>
        </w:tc>
      </w:tr>
    </w:tbl>
    <w:p>
      <w:pPr>
        <w:spacing w:after="0"/>
      </w:pPr>
    </w:p>
    <w:p>
      <w:pPr>
        <w:pStyle w:val="Heading1"/>
      </w:pPr>
      <w:r>
        <w:t>Criterios expresados como comportamiento</w:t>
      </w:r>
    </w:p>
    <w:p>
      <w:r>
        <w:t>BDD utiliza ejemplos de comportamiento para acordar qué debe hacer el producto. Los casos Cypress se nombran con Dado, Cuando y Entonces y se enlazan a las historias. No se declara un ciclo TDD histórico; las pruebas unitarias existentes se amplían con aceptación ejecutable.</w:t>
      </w:r>
    </w:p>
    <w:p>
      <w:pPr>
        <w:pStyle w:val="ListBullet"/>
      </w:pPr>
      <w:r>
        <w:t>Dada una habitación disponible y fechas válidas, cuando confirmo con datos correctos, entonces recibo un código AND y el total calculado por el servidor.</w:t>
      </w:r>
    </w:p>
    <w:p>
      <w:pPr>
        <w:pStyle w:val="ListBullet"/>
      </w:pPr>
      <w:r>
        <w:t>Dada una única unidad familiar restante, cuando llegan doce solicitudes simultáneas, entonces solo una se confirma y once se rechazan por falta de disponibilidad.</w:t>
      </w:r>
    </w:p>
    <w:p>
      <w:pPr>
        <w:pStyle w:val="Heading1"/>
      </w:pPr>
      <w:r>
        <w:t>Integración continua y entrega</w:t>
      </w:r>
    </w:p>
    <w:p>
      <w:r>
        <w:t>GitHub Actions instala dependencias desde el lockfile, comprueba tipos, ejecuta unitarias, compila, crea una base D1 local efímera y ejecuta API, Cypress y Selenium. Bash con pipefail transmite los errores aunque se guarden logs con tee; además se comprueban los conteos JSON. Los artefactos se conservan 30 días. El flujo se activa en cambios de código en main, en pull requests o manualmente.</w:t>
      </w:r>
    </w:p>
    <w:p>
      <w:r>
        <w:t>La publicación del sitio privado se gestiona por separado. Este flujo incorpora CI; no publica automáticamente ni modifica la base del sitio alojado. La entrega requiere una ejecución correcta y revisión del equipo.</w:t>
      </w:r>
    </w:p>
    <w:p>
      <w:r>
        <w:br w:type="page"/>
      </w:r>
    </w:p>
    <w:p>
      <w:pPr>
        <w:pStyle w:val="Heading1"/>
      </w:pPr>
      <w:r>
        <w:t>4 Roles y responsabilidades</w:t>
      </w:r>
    </w:p>
    <w:p>
      <w:r>
        <w:t>La siguiente distribución se propone para el grupo de tres. Los integrantes deben confirmarla al revisar la entrega. Pueden combinar funciones en el ejercicio, manteniendo la calidad como responsabilidad compartida.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944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Integrante</w:t>
            </w:r>
          </w:p>
        </w:tc>
        <w:tc>
          <w:tcPr>
            <w:tcW w:type="dxa" w:w="2232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Funciones propuestas</w:t>
            </w:r>
          </w:p>
        </w:tc>
        <w:tc>
          <w:tcPr>
            <w:tcW w:type="dxa" w:w="5616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Josue Padilla</w:t>
            </w:r>
          </w:p>
        </w:tc>
        <w:tc>
          <w:tcPr>
            <w:tcW w:type="dxa" w:w="223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Product Owner y desarrollo</w:t>
            </w:r>
          </w:p>
        </w:tc>
        <w:tc>
          <w:tcPr>
            <w:tcW w:type="dxa" w:w="561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Priorizar reservas, validar criterios con el equipo y mantener código y repositorio.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Santiago Roca</w:t>
            </w:r>
          </w:p>
        </w:tc>
        <w:tc>
          <w:tcPr>
            <w:tcW w:type="dxa" w:w="223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Scrum Master y desarrollo</w:t>
            </w:r>
          </w:p>
        </w:tc>
        <w:tc>
          <w:tcPr>
            <w:tcW w:type="dxa" w:w="561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Facilitar el seguimiento, revisar concurrencia, entorno e integración continua.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Karen Caral</w:t>
            </w:r>
          </w:p>
        </w:tc>
        <w:tc>
          <w:tcPr>
            <w:tcW w:type="dxa" w:w="223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QA Champion y pruebas</w:t>
            </w:r>
          </w:p>
        </w:tc>
        <w:tc>
          <w:tcPr>
            <w:tcW w:type="dxa" w:w="561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Revisar casos, métricas, auditoría y evidencias; coordinar la regresión.</w:t>
            </w:r>
          </w:p>
        </w:tc>
      </w:tr>
    </w:tbl>
    <w:p>
      <w:pPr>
        <w:spacing w:after="0"/>
      </w:pPr>
    </w:p>
    <w:p>
      <w:r>
        <w:t>Quien implementa un cambio prepara su prueba; otro integrante revisa el caso y el resultado. El Product Owner confirma el criterio de aceptación, QA comprueba la evidencia y el Scrum Master facilita el seguimiento. Estas aprobaciones se registran cuando ocurren.</w:t>
      </w:r>
    </w:p>
    <w:p>
      <w:pPr>
        <w:pStyle w:val="Heading1"/>
      </w:pPr>
      <w:r>
        <w:t>5 Ciclo de vida de las pruebas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2016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Momento del sprint</w:t>
            </w:r>
          </w:p>
        </w:tc>
        <w:tc>
          <w:tcPr>
            <w:tcW w:type="dxa" w:w="7776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Actividad y resultado esperado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Planificación</w:t>
            </w:r>
          </w:p>
        </w:tc>
        <w:tc>
          <w:tcPr>
            <w:tcW w:type="dxa" w:w="777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Seleccionar historias y riesgos. Acordar criterios y casos antes de comenzar cambios.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Trabajo diario</w:t>
            </w:r>
          </w:p>
        </w:tc>
        <w:tc>
          <w:tcPr>
            <w:tcW w:type="dxa" w:w="777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Revisar bloqueos y actualizar la tarjeta. Ejecutar pruebas del componente modificado.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Integración</w:t>
            </w:r>
          </w:p>
        </w:tc>
        <w:tc>
          <w:tcPr>
            <w:tcW w:type="dxa" w:w="777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Enviar cambios al repositorio y revisar el resultado de GitHub Actions.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Revisión del sprint</w:t>
            </w:r>
          </w:p>
        </w:tc>
        <w:tc>
          <w:tcPr>
            <w:tcW w:type="dxa" w:w="777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Demostrar búsqueda, reserva y cancelación con datos ficticios. Revisar criterios y evidencias.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Retrospectiva</w:t>
            </w:r>
          </w:p>
        </w:tc>
        <w:tc>
          <w:tcPr>
            <w:tcW w:type="dxa" w:w="777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Analizar fallos, elegir una mejora y llevarla al backlog con seguimiento.</w:t>
            </w:r>
          </w:p>
        </w:tc>
      </w:tr>
    </w:tbl>
    <w:p>
      <w:pPr>
        <w:spacing w:after="0"/>
      </w:pPr>
    </w:p>
    <w:p>
      <w:pPr>
        <w:pStyle w:val="Heading1"/>
      </w:pPr>
      <w:r>
        <w:t>Organización en Scrum</w:t>
      </w:r>
    </w:p>
    <w:p>
      <w:r>
        <w:t>Se propone una cadencia de una semana para las siguientes iteraciones. El corte técnico de este sprint corresponde al 27 de octubre de 2026; las reuniones y la fecha de cierre grupal se acuerdan con los integrantes. El tablero tiene Backlog, Sprint actual, En pruebas, Revisión del equipo y Verificado.</w:t>
      </w:r>
    </w:p>
    <w:p>
      <w:r>
        <w:t>Cada tarjeta incluye historia o tarea, prioridad, criterios y enlace al código o resultado. Verificado significa que existe evidencia técnica. La aceptación del equipo se mantiene separada en QA04 hasta que los tres revisen la entrega.</w:t>
      </w:r>
    </w:p>
    <w:p>
      <w:r>
        <w:t>Un defecto debe registrar pasos, entorno, resultado esperado y observado, gravedad, evidencia y acción correctiva. Tras corregirlo se repite la prueba afectada y la regresión relacionada.</w:t>
      </w:r>
    </w:p>
    <w:p>
      <w:r>
        <w:br w:type="page"/>
      </w:r>
    </w:p>
    <w:p>
      <w:pPr>
        <w:pStyle w:val="Heading1"/>
      </w:pPr>
      <w:r>
        <w:t>6 Criterios de entrada y salida</w:t>
      </w:r>
    </w:p>
    <w:p>
      <w:pPr>
        <w:pStyle w:val="Heading1"/>
      </w:pPr>
      <w:r>
        <w:t>Definition of Ready</w:t>
      </w:r>
    </w:p>
    <w:p>
      <w:r>
        <w:t>Una historia está preparada cuando su necesidad y prioridad son claras, tiene criterios comprobables, datos de ejemplo, dependencias identificadas y una prueba prevista. Debe poder ejecutarse en el entorno local sin usar información de huéspedes reales.</w:t>
      </w:r>
    </w:p>
    <w:p>
      <w:pPr>
        <w:pStyle w:val="ListBullet"/>
      </w:pPr>
      <w:r>
        <w:t>El código y las dependencias pueden instalarse y la base local está creada.</w:t>
      </w:r>
    </w:p>
    <w:p>
      <w:pPr>
        <w:pStyle w:val="ListBullet"/>
      </w:pPr>
      <w:r>
        <w:t>La consulta de reservas responde correctamente antes de iniciar la suite.</w:t>
      </w:r>
    </w:p>
    <w:p>
      <w:pPr>
        <w:pStyle w:val="ListBullet"/>
      </w:pPr>
      <w:r>
        <w:t>El criterio dispone de identificador, resultado esperado y relación con una historia.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Tipos y compilación correctos; pruebas del cambio y regresión aplicable aprobadas.</w:t>
      </w:r>
    </w:p>
    <w:p>
      <w:pPr>
        <w:pStyle w:val="ListBullet"/>
      </w:pPr>
      <w:r>
        <w:t>Todos los criterios de alta prioridad y críticos cubiertos y aprobados.</w:t>
      </w:r>
    </w:p>
    <w:p>
      <w:pPr>
        <w:pStyle w:val="ListBullet"/>
      </w:pPr>
      <w:r>
        <w:t>Sin defectos críticos o altos abiertos dentro del alcance probado.</w:t>
      </w:r>
    </w:p>
    <w:p>
      <w:pPr>
        <w:pStyle w:val="ListBullet"/>
      </w:pPr>
      <w:r>
        <w:t>Resultados, capturas y acciones correctivas disponibles en el repositorio y vinculados al tablero.</w:t>
      </w:r>
    </w:p>
    <w:p>
      <w:pPr>
        <w:pStyle w:val="ListBullet"/>
      </w:pPr>
      <w:r>
        <w:t>Revisión por otro integrante y validación funcional del Product Owner registradas.</w:t>
      </w:r>
    </w:p>
    <w:p>
      <w:r>
        <w:t>En el corte técnico los casos automatizados locales están aprobados. El cierre grupal requiere completar la revisión QA04; una ejecución técnica correcta no sustituye esa revisión.</w:t>
      </w:r>
    </w:p>
    <w:p>
      <w:pPr>
        <w:pStyle w:val="Heading1"/>
      </w:pPr>
      <w:r>
        <w:t>Suspensión y reanudación</w:t>
      </w:r>
    </w:p>
    <w:p>
      <w:r>
        <w:t>Suspendemos la suite si el servidor o D1 no responden, si falta el esquema o si una falla de infraestructura invalida los resultados. Conservamos el log, corregimos el entorno y repetimos desde un estado conocido. Un fallo de producto se registra como defecto; no se cambia el resultado esperado para aprobarlo.</w:t>
      </w:r>
    </w:p>
    <w:p>
      <w:pPr>
        <w:pStyle w:val="Heading1"/>
      </w:pPr>
      <w:r>
        <w:t>Ambiente y datos</w:t>
      </w:r>
    </w:p>
    <w:p>
      <w:r>
        <w:t>Windows, Node.js 24.22.1 y Chrome 155.0.8059.86 para las ejecuciones locales; API en http://127.0.0.1:5173 y base SQLite D1 local. CI utiliza Ubuntu y su propio entorno aislado. Las fechas de API y Cypress son futuras y se calculan al ejecutar. Las unitarias fijan el reloj para ser repetibles.</w:t>
      </w:r>
    </w:p>
    <w:p>
      <w:r>
        <w:t>Se usan nombres de prueba y correos del dominio example.test. Las suites de API y Cypress cancelan los registros que crean. Nunca se ejecutan sobre la base del sitio privado. El estado local .wrangler, las credenciales y node_modules se excluyen del repositorio.</w:t>
      </w:r>
    </w:p>
    <w:p>
      <w:r>
        <w:br w:type="page"/>
      </w:r>
    </w:p>
    <w:p>
      <w:pPr>
        <w:pStyle w:val="Heading1"/>
      </w:pPr>
      <w:r>
        <w:t>7 Métricas y control de calidad</w:t>
      </w:r>
    </w:p>
    <w:p>
      <w:r>
        <w:t>El corte local del 27 de octubre se basa en los archivos de resultados conservados en evidence. Los grupos de API contienen varias aserciones; se reportan aparte para evitar confundirlos con casos individuales.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592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3744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Cálculo o criterio</w:t>
            </w:r>
          </w:p>
        </w:tc>
        <w:tc>
          <w:tcPr>
            <w:tcW w:type="dxa" w:w="3456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Resultado del corte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Unitarias</w:t>
            </w:r>
          </w:p>
        </w:tc>
        <w:tc>
          <w:tcPr>
            <w:tcW w:type="dxa" w:w="374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Aprobadas / ejecutadas</w:t>
            </w:r>
          </w:p>
        </w:tc>
        <w:tc>
          <w:tcPr>
            <w:tcW w:type="dxa" w:w="345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8 / 8 = 100 %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Integración API</w:t>
            </w:r>
          </w:p>
        </w:tc>
        <w:tc>
          <w:tcPr>
            <w:tcW w:type="dxa" w:w="374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Grupos aprobados / ejecutados</w:t>
            </w:r>
          </w:p>
        </w:tc>
        <w:tc>
          <w:tcPr>
            <w:tcW w:type="dxa" w:w="345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6 / 6 = 100 %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Aceptación Cypress</w:t>
            </w:r>
          </w:p>
        </w:tc>
        <w:tc>
          <w:tcPr>
            <w:tcW w:type="dxa" w:w="374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Casos aprobados / ejecutados</w:t>
            </w:r>
          </w:p>
        </w:tc>
        <w:tc>
          <w:tcPr>
            <w:tcW w:type="dxa" w:w="345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6 / 6 = 100 %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Interfaz Selenium</w:t>
            </w:r>
          </w:p>
        </w:tc>
        <w:tc>
          <w:tcPr>
            <w:tcW w:type="dxa" w:w="374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Casos aprobados / ejecutados</w:t>
            </w:r>
          </w:p>
        </w:tc>
        <w:tc>
          <w:tcPr>
            <w:tcW w:type="dxa" w:w="345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4 / 4 = 100 %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Cobertura de aceptación</w:t>
            </w:r>
          </w:p>
        </w:tc>
        <w:tc>
          <w:tcPr>
            <w:tcW w:type="dxa" w:w="374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Criterios con prueba aprobada / definidos</w:t>
            </w:r>
          </w:p>
        </w:tc>
        <w:tc>
          <w:tcPr>
            <w:tcW w:type="dxa" w:w="345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11 / 11 = 100 %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Sobreventa en caso de concurrencia</w:t>
            </w:r>
          </w:p>
        </w:tc>
        <w:tc>
          <w:tcPr>
            <w:tcW w:type="dxa" w:w="374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12 solicitudes por 1 unidad restante</w:t>
            </w:r>
          </w:p>
        </w:tc>
        <w:tc>
          <w:tcPr>
            <w:tcW w:type="dxa" w:w="345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1 confirma y 11 rechazos 409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Tipos y compilación</w:t>
            </w:r>
          </w:p>
        </w:tc>
        <w:tc>
          <w:tcPr>
            <w:tcW w:type="dxa" w:w="374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Procesos finalizados sin error</w:t>
            </w:r>
          </w:p>
        </w:tc>
        <w:tc>
          <w:tcPr>
            <w:tcW w:type="dxa" w:w="345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Aprobados en local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Integración continua remota</w:t>
            </w:r>
          </w:p>
        </w:tc>
        <w:tc>
          <w:tcPr>
            <w:tcW w:type="dxa" w:w="3744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Estado confirmado en GitHub Actions</w:t>
            </w:r>
          </w:p>
        </w:tc>
        <w:tc>
          <w:tcPr>
            <w:tcW w:type="dxa" w:w="3456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Aprobada</w:t>
            </w:r>
          </w:p>
        </w:tc>
      </w:tr>
    </w:tbl>
    <w:p>
      <w:pPr>
        <w:spacing w:after="0"/>
      </w:pPr>
    </w:p>
    <w:p>
      <w:pPr>
        <w:pStyle w:val="Heading1"/>
      </w:pPr>
      <w:r>
        <w:t>Interpretación y límites</w:t>
      </w:r>
    </w:p>
    <w:p>
      <w:r>
        <w:t>La tasa de fallo local es 0 % en las ejecuciones finales de cada suite. Los intentos iniciales revelaron problemas de entorno, sincronización y propagación de errores en CI; se documentan en la auditoría. El 100 % se refiere exclusivamente a los criterios definidos y al alcance probado. La aprobación remota exige tanto éxito del flujo como resultados correctos en sus archivos JSON.</w:t>
      </w:r>
    </w:p>
    <w:p>
      <w:r>
        <w:t>La cobertura de aceptación no es cobertura de líneas de código. La cobertura de código y la densidad de defectos por KLOC requieren instrumentación y un conteo estable; se incorporan como mejora. No se calcula velocidad del equipo porque aún falta un histórico de puntos planificados y aceptados por sprint.</w:t>
      </w:r>
    </w:p>
    <w:p>
      <w:pPr>
        <w:pStyle w:val="Heading1"/>
      </w:pPr>
      <w:r>
        <w:t>Seguimiento y acciones</w:t>
      </w:r>
    </w:p>
    <w:p>
      <w:r>
        <w:t>La meta propuesta es mantener 100 % de criterios críticos y altos aprobados, cero defectos críticos abiertos y evidencia para cada historia incluida. Si un indicador incumple la meta, la tarjeta vuelve a En pruebas y se registra una acción correctiva. Karen coordina el cálculo propuesto; el equipo revisa el resultado al cierre.</w:t>
      </w:r>
    </w:p>
    <w:p>
      <w:r>
        <w:t>La duración total no se compara entre suites ejecutadas en momentos distintos. Los tiempos de Cypress y Selenium están en sus JSON originales. La prueba concurrente comprueba inventario, no representa una medición de capacidad de carga del sistema.</w:t>
      </w:r>
    </w:p>
    <w:p>
      <w:r>
        <w:br w:type="page"/>
      </w:r>
    </w:p>
    <w:p>
      <w:pPr>
        <w:pStyle w:val="Heading1"/>
      </w:pPr>
      <w:r>
        <w:t>8 Riesgos y mitigación</w:t>
      </w:r>
    </w:p>
    <w:p>
      <w:r>
        <w:t>Escala propuesta de probabilidad e impacto: 1 bajo, 2 medio, 3 alto. El producto P × I permite ordenar riesgos; es una estimación del equipo para planificar, no una frecuencia medida.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  <w:cantSplit/>
        </w:trPr>
        <w:tc>
          <w:tcPr>
            <w:tcW w:type="dxa" w:w="648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592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Riesgo</w:t>
            </w:r>
          </w:p>
        </w:tc>
        <w:tc>
          <w:tcPr>
            <w:tcW w:type="dxa" w:w="1152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P × I</w:t>
            </w:r>
          </w:p>
        </w:tc>
        <w:tc>
          <w:tcPr>
            <w:tcW w:type="dxa" w:w="3888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Tratamiento</w:t>
            </w:r>
          </w:p>
        </w:tc>
        <w:tc>
          <w:tcPr>
            <w:tcW w:type="dxa" w:w="1512"/>
            <w:shd w:fill="E8EEE9"/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Referente propuesto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R01</w:t>
            </w:r>
          </w:p>
        </w:tc>
        <w:tc>
          <w:tcPr>
            <w:tcW w:type="dxa" w:w="259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Sobreventa por solicitudes simultáneas</w:t>
            </w:r>
          </w:p>
        </w:tc>
        <w:tc>
          <w:tcPr>
            <w:tcW w:type="dxa" w:w="115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2 × 3 = 6</w:t>
            </w:r>
          </w:p>
        </w:tc>
        <w:tc>
          <w:tcPr>
            <w:tcW w:type="dxa" w:w="388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Inserción atómica, prueba de 12 solicitudes y regresión API</w:t>
            </w:r>
          </w:p>
        </w:tc>
        <w:tc>
          <w:tcPr>
            <w:tcW w:type="dxa" w:w="151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Santiago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R02</w:t>
            </w:r>
          </w:p>
        </w:tc>
        <w:tc>
          <w:tcPr>
            <w:tcW w:type="dxa" w:w="259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Fechas o capacidad inválidas</w:t>
            </w:r>
          </w:p>
        </w:tc>
        <w:tc>
          <w:tcPr>
            <w:tcW w:type="dxa" w:w="115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3 × 2 = 6</w:t>
            </w:r>
          </w:p>
        </w:tc>
        <w:tc>
          <w:tcPr>
            <w:tcW w:type="dxa" w:w="388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Validación en cliente y servidor; límites y fechas imposibles</w:t>
            </w:r>
          </w:p>
        </w:tc>
        <w:tc>
          <w:tcPr>
            <w:tcW w:type="dxa" w:w="151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Karen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R03</w:t>
            </w:r>
          </w:p>
        </w:tc>
        <w:tc>
          <w:tcPr>
            <w:tcW w:type="dxa" w:w="259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Importe alterado o duplicación por reintento</w:t>
            </w:r>
          </w:p>
        </w:tc>
        <w:tc>
          <w:tcPr>
            <w:tcW w:type="dxa" w:w="115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2 × 3 = 6</w:t>
            </w:r>
          </w:p>
        </w:tc>
        <w:tc>
          <w:tcPr>
            <w:tcW w:type="dxa" w:w="388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Cálculo en servidor e idempotencia comprobada</w:t>
            </w:r>
          </w:p>
        </w:tc>
        <w:tc>
          <w:tcPr>
            <w:tcW w:type="dxa" w:w="151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Josue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R04</w:t>
            </w:r>
          </w:p>
        </w:tc>
        <w:tc>
          <w:tcPr>
            <w:tcW w:type="dxa" w:w="259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Consulta de datos de otro visitante</w:t>
            </w:r>
          </w:p>
        </w:tc>
        <w:tc>
          <w:tcPr>
            <w:tcW w:type="dxa" w:w="115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2 × 3 = 6</w:t>
            </w:r>
          </w:p>
        </w:tc>
        <w:tc>
          <w:tcPr>
            <w:tcW w:type="dxa" w:w="388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Filtro por identidad, cookie HttpOnly y prueba de aislamiento</w:t>
            </w:r>
          </w:p>
        </w:tc>
        <w:tc>
          <w:tcPr>
            <w:tcW w:type="dxa" w:w="151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Karen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R05</w:t>
            </w:r>
          </w:p>
        </w:tc>
        <w:tc>
          <w:tcPr>
            <w:tcW w:type="dxa" w:w="259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Fallo del entorno de prueba o de CI</w:t>
            </w:r>
          </w:p>
        </w:tc>
        <w:tc>
          <w:tcPr>
            <w:tcW w:type="dxa" w:w="115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2 × 2 = 4</w:t>
            </w:r>
          </w:p>
        </w:tc>
        <w:tc>
          <w:tcPr>
            <w:tcW w:type="dxa" w:w="388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Versiones fijadas, base aislada, espera de disponibilidad y logs</w:t>
            </w:r>
          </w:p>
        </w:tc>
        <w:tc>
          <w:tcPr>
            <w:tcW w:type="dxa" w:w="151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Santiago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R06</w:t>
            </w:r>
          </w:p>
        </w:tc>
        <w:tc>
          <w:tcPr>
            <w:tcW w:type="dxa" w:w="259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Evidencias o tablero inaccesibles al docente</w:t>
            </w:r>
          </w:p>
        </w:tc>
        <w:tc>
          <w:tcPr>
            <w:tcW w:type="dxa" w:w="115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2 × 2 = 4</w:t>
            </w:r>
          </w:p>
        </w:tc>
        <w:tc>
          <w:tcPr>
            <w:tcW w:type="dxa" w:w="3888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Enlaces, exportación del tablero y capturas; revisar acceso</w:t>
            </w:r>
          </w:p>
        </w:tc>
        <w:tc>
          <w:tcPr>
            <w:tcW w:type="dxa" w:w="1512"/>
          </w:tcPr>
          <w:p>
            <w:pPr>
              <w:spacing w:after="80" w:before="60" w:line="240" w:lineRule="auto"/>
            </w:pPr>
            <w:r>
              <w:rPr>
                <w:sz w:val="18"/>
              </w:rPr>
              <w:t>Josue</w:t>
            </w:r>
          </w:p>
        </w:tc>
      </w:tr>
    </w:tbl>
    <w:p>
      <w:pPr>
        <w:spacing w:after="0"/>
      </w:pPr>
    </w:p>
    <w:p>
      <w:pPr>
        <w:pStyle w:val="Heading1"/>
      </w:pPr>
      <w:r>
        <w:t>Mejoras para la siguiente iteración</w:t>
      </w:r>
    </w:p>
    <w:p>
      <w:pPr>
        <w:pStyle w:val="ListBullet"/>
      </w:pPr>
      <w:r>
        <w:t>Añadir cobertura de código y ampliar las pruebas de accesibilidad y rendimiento con condiciones documentadas.</w:t>
      </w:r>
    </w:p>
    <w:p>
      <w:pPr>
        <w:pStyle w:val="ListBullet"/>
      </w:pPr>
      <w:r>
        <w:t>Registrar puntos y aceptación al cerrar cada sprint para calcular velocidad con datos reales.</w:t>
      </w:r>
    </w:p>
    <w:p>
      <w:pPr>
        <w:pStyle w:val="ListBullet"/>
      </w:pPr>
      <w:r>
        <w:t>Completar la revisión de los integrantes y el acceso del docente al tablero privado.</w:t>
      </w:r>
    </w:p>
    <w:p>
      <w:pPr>
        <w:pStyle w:val="Heading1"/>
      </w:pPr>
      <w:r>
        <w:t>Acceso a la evidencia</w:t>
      </w:r>
    </w:p>
    <w:p>
      <w:r>
        <w:t>Repositorio: https://github.com/JosuePadillaUnivalle/Hotel-Andes</w:t>
      </w:r>
    </w:p>
    <w:p>
      <w:r>
        <w:t>Tablero privado: https://trello.com/b/VOKoZIGB/hotel-andes-scrum-y-plan-sqa</w:t>
      </w:r>
    </w:p>
    <w:p>
      <w:r>
        <w:t>Ejecución de CI: https://github.com/JosuePadillaUnivalle/Hotel-Andes/actions/runs/40579881691</w:t>
      </w:r>
    </w:p>
    <w:p>
      <w:pPr>
        <w:pStyle w:val="Heading1"/>
      </w:pPr>
      <w:r>
        <w:t>Referencias</w:t>
      </w:r>
    </w:p>
    <w:p>
      <w:r>
        <w:t>Consigna docente Plan SQA web, páginas 2 a 4. README, lib/rooms.ts, API y pruebas de Hotel Andes, corte del 27/10/2026. Matriz de trazabilidad y auditoría adjuntas.</w:t>
      </w:r>
    </w:p>
    <w:p>
      <w:r>
        <w:t>Cypress Documentation: docs.cypress.io/app/references/command-line y app/guides/screenshots-and-videos. Selenium WebDriver JavaScript API: selenium.dev/selenium/docs/api/javascript/. Cloudflare Wrangler: developers.cloudflare.com/workers/wrangler/install-and-update/. Consulta técnica: 27/10/2026.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36B"/>
        <w:sz w:val="16"/>
      </w:rPr>
      <w:t xml:space="preserve">Hotel Andes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4" w:lineRule="auto"/>
    </w:pPr>
    <w:rPr>
      <w:rFonts w:ascii="Calibri" w:hAnsi="Calibr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4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Plan de calidad del prototipo académico Hotel Andes</dc:subject>
  <dc:creator>Josue Padilla, Santiago Roca y Karen Caral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