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Calibri" w:hAnsi="Calibri" w:cs="Calibri"/>
          <w:b/>
          <w:i w:val="0"/>
          <w:color w:val="B8932F"/>
          <w:sz w:val="18"/>
          <w:szCs w:val="18"/>
        </w:rPr>
        <w:t>SCRIPTORIUM  ·  BRANDING &amp; TRANSCREATION</w:t>
      </w:r>
    </w:p>
    <w:p>
      <w:pPr>
        <w:spacing w:after="40" w:before="0" w:line="276" w:lineRule="auto"/>
      </w:pPr>
      <w:r>
        <w:rPr>
          <w:rFonts w:ascii="Calibri" w:hAnsi="Calibri" w:cs="Calibri"/>
          <w:b/>
          <w:i w:val="0"/>
          <w:color w:val="6B7280"/>
          <w:sz w:val="18"/>
          <w:szCs w:val="18"/>
        </w:rPr>
        <w:t>Portfolio Sample</w:t>
      </w:r>
    </w:p>
    <w:p>
      <w:pPr>
        <w:spacing w:after="80" w:before="80" w:line="276" w:lineRule="auto"/>
      </w:pPr>
      <w:r>
        <w:rPr>
          <w:rFonts w:ascii="Georgia" w:hAnsi="Georgia" w:cs="Georgia"/>
          <w:b/>
          <w:i w:val="0"/>
          <w:color w:val="13213B"/>
          <w:sz w:val="44"/>
          <w:szCs w:val="44"/>
        </w:rPr>
        <w:t>Brand Naming Report</w:t>
      </w:r>
    </w:p>
    <w:p>
      <w:pPr>
        <w:spacing w:after="120" w:before="0" w:line="276" w:lineRule="auto"/>
      </w:pPr>
      <w:r>
        <w:rPr>
          <w:rFonts w:ascii="Georgia" w:hAnsi="Georgia" w:cs="Georgia"/>
          <w:b w:val="0"/>
          <w:i/>
          <w:color w:val="6B7280"/>
          <w:sz w:val="24"/>
          <w:szCs w:val="24"/>
        </w:rPr>
        <w:t>Name candidates screened for meaning and fit across six languages.</w:t>
      </w:r>
    </w:p>
    <w:p>
      <w:pPr>
        <w:spacing w:after="120"/>
        <w:pBdr>
          <w:bottom w:val="single" w:sz="10" w:space="4" w:color="B8932F"/>
        </w:pBdr>
      </w:pPr>
    </w:p>
    <w:p>
      <w:pPr>
        <w:spacing w:after="80" w:before="240" w:line="276" w:lineRule="auto"/>
      </w:pPr>
      <w:r>
        <w:rPr>
          <w:rFonts w:ascii="Georgia" w:hAnsi="Georgia" w:cs="Georgia"/>
          <w:b/>
          <w:i w:val="0"/>
          <w:color w:val="13213B"/>
          <w:sz w:val="28"/>
          <w:szCs w:val="28"/>
        </w:rPr>
        <w:t>Brief (fictional)</w:t>
      </w:r>
    </w:p>
    <w:p>
      <w:pPr>
        <w:spacing w:after="120" w:before="0" w:line="276" w:lineRule="auto"/>
        <w:jc w:val="both"/>
      </w:pPr>
      <w:r>
        <w:rPr>
          <w:rFonts w:ascii="Calibri" w:hAnsi="Calibri" w:cs="Calibri"/>
          <w:b w:val="0"/>
          <w:i w:val="0"/>
          <w:color w:val="1A1A1A"/>
          <w:sz w:val="22"/>
          <w:szCs w:val="22"/>
        </w:rPr>
        <w:t>A small wellness-tech startup needs a brand name for a habit-tracking app launching in Europe and Latin America. The name should feel calm and trustworthy, be easy to pronounce in English, Spanish, French, German, Portuguese and Italian, and carry no negative meaning in those markets.</w:t>
      </w:r>
    </w:p>
    <w:p>
      <w:pPr>
        <w:spacing w:after="80" w:before="240" w:line="276" w:lineRule="auto"/>
      </w:pPr>
      <w:r>
        <w:rPr>
          <w:rFonts w:ascii="Georgia" w:hAnsi="Georgia" w:cs="Georgia"/>
          <w:b/>
          <w:i w:val="0"/>
          <w:color w:val="13213B"/>
          <w:sz w:val="28"/>
          <w:szCs w:val="28"/>
        </w:rPr>
        <w:t>Method</w:t>
      </w:r>
    </w:p>
    <w:p>
      <w:pPr>
        <w:pStyle w:val="ListBullet"/>
        <w:spacing w:after="60" w:line="269" w:lineRule="auto"/>
      </w:pPr>
      <w:r>
        <w:rPr>
          <w:rFonts w:ascii="Calibri" w:hAnsi="Calibri" w:cs="Calibri"/>
          <w:color w:val="1A1A1A"/>
          <w:sz w:val="22"/>
          <w:szCs w:val="22"/>
        </w:rPr>
        <w:t>Generate candidates from the brand’s core ideas: calm, clarity, growth, daily rhythm.</w:t>
      </w:r>
    </w:p>
    <w:p>
      <w:pPr>
        <w:pStyle w:val="ListBullet"/>
        <w:spacing w:after="60" w:line="269" w:lineRule="auto"/>
      </w:pPr>
      <w:r>
        <w:rPr>
          <w:rFonts w:ascii="Calibri" w:hAnsi="Calibri" w:cs="Calibri"/>
          <w:color w:val="1A1A1A"/>
          <w:sz w:val="22"/>
          <w:szCs w:val="22"/>
        </w:rPr>
        <w:t>Screen each name for meaning, tone and pronunciation across the six core languages.</w:t>
      </w:r>
    </w:p>
    <w:p>
      <w:pPr>
        <w:pStyle w:val="ListBullet"/>
        <w:spacing w:after="60" w:line="269" w:lineRule="auto"/>
      </w:pPr>
      <w:r>
        <w:rPr>
          <w:rFonts w:ascii="Calibri" w:hAnsi="Calibri" w:cs="Calibri"/>
          <w:color w:val="1A1A1A"/>
          <w:sz w:val="22"/>
          <w:szCs w:val="22"/>
        </w:rPr>
        <w:t>Flag false friends, awkward sounds and existing strong associations.</w:t>
      </w:r>
    </w:p>
    <w:p>
      <w:pPr>
        <w:pStyle w:val="ListBullet"/>
        <w:spacing w:after="60" w:line="269" w:lineRule="auto"/>
      </w:pPr>
      <w:r>
        <w:rPr>
          <w:rFonts w:ascii="Calibri" w:hAnsi="Calibri" w:cs="Calibri"/>
          <w:color w:val="1A1A1A"/>
          <w:sz w:val="22"/>
          <w:szCs w:val="22"/>
        </w:rPr>
        <w:t>Give each candidate a clear verdict: safe, caution or reject.</w:t>
      </w:r>
    </w:p>
    <w:p>
      <w:pPr>
        <w:pStyle w:val="ListBullet"/>
        <w:spacing w:after="60" w:line="269" w:lineRule="auto"/>
      </w:pPr>
      <w:r>
        <w:rPr>
          <w:rFonts w:ascii="Calibri" w:hAnsi="Calibri" w:cs="Calibri"/>
          <w:color w:val="1A1A1A"/>
          <w:sz w:val="22"/>
          <w:szCs w:val="22"/>
        </w:rPr>
        <w:t>Note domain/handle availability as a practical next step (illustrative here).</w:t>
      </w:r>
    </w:p>
    <w:p>
      <w:pPr>
        <w:spacing w:after="80" w:before="240" w:line="276" w:lineRule="auto"/>
      </w:pPr>
      <w:r>
        <w:rPr>
          <w:rFonts w:ascii="Georgia" w:hAnsi="Georgia" w:cs="Georgia"/>
          <w:b/>
          <w:i w:val="0"/>
          <w:color w:val="13213B"/>
          <w:sz w:val="28"/>
          <w:szCs w:val="28"/>
        </w:rPr>
        <w:t>Candidate screening</w:t>
      </w:r>
    </w:p>
    <w:tbl>
      <w:tblPr>
        <w:tblW w:type="auto" w:w="0"/>
        <w:jc w:val="center"/>
        <w:tblLook w:firstColumn="1" w:firstRow="1" w:lastColumn="0" w:lastRow="0" w:noHBand="0" w:noVBand="1" w:val="04A0"/>
        <w:tblBorders>
          <w:top w:val="single" w:sz="4" w:space="0" w:color="D8DDE8"/>
          <w:left w:val="single" w:sz="4" w:space="0" w:color="D8DDE8"/>
          <w:bottom w:val="single" w:sz="4" w:space="0" w:color="D8DDE8"/>
          <w:right w:val="single" w:sz="4" w:space="0" w:color="D8DDE8"/>
          <w:insideH w:val="single" w:sz="4" w:space="0" w:color="D8DDE8"/>
          <w:insideV w:val="single" w:sz="4" w:space="0" w:color="D8DDE8"/>
        </w:tblBorders>
      </w:tblPr>
      <w:tblGrid>
        <w:gridCol w:w="2412"/>
        <w:gridCol w:w="2412"/>
        <w:gridCol w:w="2412"/>
        <w:gridCol w:w="2412"/>
      </w:tblGrid>
      <w:tr>
        <w:tc>
          <w:tcPr>
            <w:tcW w:type="dxa" w:w="1728"/>
            <w:shd w:val="clear" w:color="auto" w:fill="13213B"/>
          </w:tcPr>
          <w:p>
            <w:pPr>
              <w:spacing w:after="40" w:before="40"/>
            </w:pPr>
            <w:r>
              <w:rPr>
                <w:rFonts w:ascii="Calibri" w:hAnsi="Calibri" w:cs="Calibri"/>
                <w:b/>
                <w:color w:val="FFFFFF"/>
                <w:sz w:val="20"/>
                <w:szCs w:val="20"/>
              </w:rPr>
              <w:t>Candidate</w:t>
            </w:r>
          </w:p>
        </w:tc>
        <w:tc>
          <w:tcPr>
            <w:tcW w:type="dxa" w:w="3312"/>
            <w:shd w:val="clear" w:color="auto" w:fill="13213B"/>
          </w:tcPr>
          <w:p>
            <w:pPr>
              <w:spacing w:after="40" w:before="40"/>
            </w:pPr>
            <w:r>
              <w:rPr>
                <w:rFonts w:ascii="Calibri" w:hAnsi="Calibri" w:cs="Calibri"/>
                <w:b/>
                <w:color w:val="FFFFFF"/>
                <w:sz w:val="20"/>
                <w:szCs w:val="20"/>
              </w:rPr>
              <w:t>Concept</w:t>
            </w:r>
          </w:p>
        </w:tc>
        <w:tc>
          <w:tcPr>
            <w:tcW w:type="dxa" w:w="2736"/>
            <w:shd w:val="clear" w:color="auto" w:fill="13213B"/>
          </w:tcPr>
          <w:p>
            <w:pPr>
              <w:spacing w:after="40" w:before="40"/>
            </w:pPr>
            <w:r>
              <w:rPr>
                <w:rFonts w:ascii="Calibri" w:hAnsi="Calibri" w:cs="Calibri"/>
                <w:b/>
                <w:color w:val="FFFFFF"/>
                <w:sz w:val="20"/>
                <w:szCs w:val="20"/>
              </w:rPr>
              <w:t>Languages checked</w:t>
            </w:r>
          </w:p>
        </w:tc>
        <w:tc>
          <w:tcPr>
            <w:tcW w:type="dxa" w:w="4032"/>
            <w:shd w:val="clear" w:color="auto" w:fill="13213B"/>
          </w:tcPr>
          <w:p>
            <w:pPr>
              <w:spacing w:after="40" w:before="40"/>
            </w:pPr>
            <w:r>
              <w:rPr>
                <w:rFonts w:ascii="Calibri" w:hAnsi="Calibri" w:cs="Calibri"/>
                <w:b/>
                <w:color w:val="FFFFFF"/>
                <w:sz w:val="20"/>
                <w:szCs w:val="20"/>
              </w:rPr>
              <w:t>Verdict</w:t>
            </w:r>
          </w:p>
        </w:tc>
      </w:tr>
      <w:tr>
        <w:tc>
          <w:tcPr>
            <w:tcW w:type="dxa" w:w="1728"/>
          </w:tcPr>
          <w:p>
            <w:pPr>
              <w:spacing w:after="40" w:before="40"/>
            </w:pPr>
            <w:r>
              <w:rPr>
                <w:rFonts w:ascii="Calibri" w:hAnsi="Calibri" w:cs="Calibri"/>
                <w:color w:val="1A1A1A"/>
                <w:sz w:val="20"/>
                <w:szCs w:val="20"/>
              </w:rPr>
              <w:t>Lumina</w:t>
            </w:r>
          </w:p>
        </w:tc>
        <w:tc>
          <w:tcPr>
            <w:tcW w:type="dxa" w:w="3312"/>
          </w:tcPr>
          <w:p>
            <w:pPr>
              <w:spacing w:after="40" w:before="40"/>
            </w:pPr>
            <w:r>
              <w:rPr>
                <w:rFonts w:ascii="Calibri" w:hAnsi="Calibri" w:cs="Calibri"/>
                <w:color w:val="1A1A1A"/>
                <w:sz w:val="20"/>
                <w:szCs w:val="20"/>
              </w:rPr>
              <w:t>Light, clarity, guidance</w:t>
            </w:r>
          </w:p>
        </w:tc>
        <w:tc>
          <w:tcPr>
            <w:tcW w:type="dxa" w:w="2736"/>
          </w:tcPr>
          <w:p>
            <w:pPr>
              <w:spacing w:after="40" w:before="40"/>
            </w:pPr>
            <w:r>
              <w:rPr>
                <w:rFonts w:ascii="Calibri" w:hAnsi="Calibri" w:cs="Calibri"/>
                <w:color w:val="1A1A1A"/>
                <w:sz w:val="20"/>
                <w:szCs w:val="20"/>
              </w:rPr>
              <w:t>EN ES FR DE IT PT</w:t>
            </w:r>
          </w:p>
        </w:tc>
        <w:tc>
          <w:tcPr>
            <w:tcW w:type="dxa" w:w="4032"/>
          </w:tcPr>
          <w:p>
            <w:pPr>
              <w:spacing w:after="40" w:before="40"/>
            </w:pPr>
            <w:r>
              <w:rPr>
                <w:rFonts w:ascii="Calibri" w:hAnsi="Calibri" w:cs="Calibri"/>
                <w:color w:val="1A1A1A"/>
                <w:sz w:val="20"/>
                <w:szCs w:val="20"/>
              </w:rPr>
              <w:t>Safe — clean, easy to say everywhere</w:t>
            </w:r>
          </w:p>
        </w:tc>
      </w:tr>
      <w:tr>
        <w:tc>
          <w:tcPr>
            <w:tcW w:type="dxa" w:w="1728"/>
            <w:shd w:val="clear" w:color="auto" w:fill="F4F2EC"/>
          </w:tcPr>
          <w:p>
            <w:pPr>
              <w:spacing w:after="40" w:before="40"/>
            </w:pPr>
            <w:r>
              <w:rPr>
                <w:rFonts w:ascii="Calibri" w:hAnsi="Calibri" w:cs="Calibri"/>
                <w:color w:val="1A1A1A"/>
                <w:sz w:val="20"/>
                <w:szCs w:val="20"/>
              </w:rPr>
              <w:t>Verda</w:t>
            </w:r>
          </w:p>
        </w:tc>
        <w:tc>
          <w:tcPr>
            <w:tcW w:type="dxa" w:w="3312"/>
            <w:shd w:val="clear" w:color="auto" w:fill="F4F2EC"/>
          </w:tcPr>
          <w:p>
            <w:pPr>
              <w:spacing w:after="40" w:before="40"/>
            </w:pPr>
            <w:r>
              <w:rPr>
                <w:rFonts w:ascii="Calibri" w:hAnsi="Calibri" w:cs="Calibri"/>
                <w:color w:val="1A1A1A"/>
                <w:sz w:val="20"/>
                <w:szCs w:val="20"/>
              </w:rPr>
              <w:t>Green, growth, freshness</w:t>
            </w:r>
          </w:p>
        </w:tc>
        <w:tc>
          <w:tcPr>
            <w:tcW w:type="dxa" w:w="2736"/>
            <w:shd w:val="clear" w:color="auto" w:fill="F4F2EC"/>
          </w:tcPr>
          <w:p>
            <w:pPr>
              <w:spacing w:after="40" w:before="40"/>
            </w:pPr>
            <w:r>
              <w:rPr>
                <w:rFonts w:ascii="Calibri" w:hAnsi="Calibri" w:cs="Calibri"/>
                <w:color w:val="1A1A1A"/>
                <w:sz w:val="20"/>
                <w:szCs w:val="20"/>
              </w:rPr>
              <w:t>EN ES DE PT IT</w:t>
            </w:r>
          </w:p>
        </w:tc>
        <w:tc>
          <w:tcPr>
            <w:tcW w:type="dxa" w:w="4032"/>
            <w:shd w:val="clear" w:color="auto" w:fill="F4F2EC"/>
          </w:tcPr>
          <w:p>
            <w:pPr>
              <w:spacing w:after="40" w:before="40"/>
            </w:pPr>
            <w:r>
              <w:rPr>
                <w:rFonts w:ascii="Calibri" w:hAnsi="Calibri" w:cs="Calibri"/>
                <w:color w:val="1A1A1A"/>
                <w:sz w:val="20"/>
                <w:szCs w:val="20"/>
              </w:rPr>
              <w:t>Safe — close to “verde”, on-brand</w:t>
            </w:r>
          </w:p>
        </w:tc>
      </w:tr>
      <w:tr>
        <w:tc>
          <w:tcPr>
            <w:tcW w:type="dxa" w:w="1728"/>
          </w:tcPr>
          <w:p>
            <w:pPr>
              <w:spacing w:after="40" w:before="40"/>
            </w:pPr>
            <w:r>
              <w:rPr>
                <w:rFonts w:ascii="Calibri" w:hAnsi="Calibri" w:cs="Calibri"/>
                <w:color w:val="1A1A1A"/>
                <w:sz w:val="20"/>
                <w:szCs w:val="20"/>
              </w:rPr>
              <w:t>Kairo</w:t>
            </w:r>
          </w:p>
        </w:tc>
        <w:tc>
          <w:tcPr>
            <w:tcW w:type="dxa" w:w="3312"/>
          </w:tcPr>
          <w:p>
            <w:pPr>
              <w:spacing w:after="40" w:before="40"/>
            </w:pPr>
            <w:r>
              <w:rPr>
                <w:rFonts w:ascii="Calibri" w:hAnsi="Calibri" w:cs="Calibri"/>
                <w:color w:val="1A1A1A"/>
                <w:sz w:val="20"/>
                <w:szCs w:val="20"/>
              </w:rPr>
              <w:t>The right moment (Gk. kairós)</w:t>
            </w:r>
          </w:p>
        </w:tc>
        <w:tc>
          <w:tcPr>
            <w:tcW w:type="dxa" w:w="2736"/>
          </w:tcPr>
          <w:p>
            <w:pPr>
              <w:spacing w:after="40" w:before="40"/>
            </w:pPr>
            <w:r>
              <w:rPr>
                <w:rFonts w:ascii="Calibri" w:hAnsi="Calibri" w:cs="Calibri"/>
                <w:color w:val="1A1A1A"/>
                <w:sz w:val="20"/>
                <w:szCs w:val="20"/>
              </w:rPr>
              <w:t>EN ES FR DE IT</w:t>
            </w:r>
          </w:p>
        </w:tc>
        <w:tc>
          <w:tcPr>
            <w:tcW w:type="dxa" w:w="4032"/>
          </w:tcPr>
          <w:p>
            <w:pPr>
              <w:spacing w:after="40" w:before="40"/>
            </w:pPr>
            <w:r>
              <w:rPr>
                <w:rFonts w:ascii="Calibri" w:hAnsi="Calibri" w:cs="Calibri"/>
                <w:color w:val="1A1A1A"/>
                <w:sz w:val="20"/>
                <w:szCs w:val="20"/>
              </w:rPr>
              <w:t>Safe — short, global, memorable</w:t>
            </w:r>
          </w:p>
        </w:tc>
      </w:tr>
      <w:tr>
        <w:tc>
          <w:tcPr>
            <w:tcW w:type="dxa" w:w="1728"/>
            <w:shd w:val="clear" w:color="auto" w:fill="F4F2EC"/>
          </w:tcPr>
          <w:p>
            <w:pPr>
              <w:spacing w:after="40" w:before="40"/>
            </w:pPr>
            <w:r>
              <w:rPr>
                <w:rFonts w:ascii="Calibri" w:hAnsi="Calibri" w:cs="Calibri"/>
                <w:color w:val="1A1A1A"/>
                <w:sz w:val="20"/>
                <w:szCs w:val="20"/>
              </w:rPr>
              <w:t>Nuvo</w:t>
            </w:r>
          </w:p>
        </w:tc>
        <w:tc>
          <w:tcPr>
            <w:tcW w:type="dxa" w:w="3312"/>
            <w:shd w:val="clear" w:color="auto" w:fill="F4F2EC"/>
          </w:tcPr>
          <w:p>
            <w:pPr>
              <w:spacing w:after="40" w:before="40"/>
            </w:pPr>
            <w:r>
              <w:rPr>
                <w:rFonts w:ascii="Calibri" w:hAnsi="Calibri" w:cs="Calibri"/>
                <w:color w:val="1A1A1A"/>
                <w:sz w:val="20"/>
                <w:szCs w:val="20"/>
              </w:rPr>
              <w:t>New, modern</w:t>
            </w:r>
          </w:p>
        </w:tc>
        <w:tc>
          <w:tcPr>
            <w:tcW w:type="dxa" w:w="2736"/>
            <w:shd w:val="clear" w:color="auto" w:fill="F4F2EC"/>
          </w:tcPr>
          <w:p>
            <w:pPr>
              <w:spacing w:after="40" w:before="40"/>
            </w:pPr>
            <w:r>
              <w:rPr>
                <w:rFonts w:ascii="Calibri" w:hAnsi="Calibri" w:cs="Calibri"/>
                <w:color w:val="1A1A1A"/>
                <w:sz w:val="20"/>
                <w:szCs w:val="20"/>
              </w:rPr>
              <w:t>EN ES FR IT</w:t>
            </w:r>
          </w:p>
        </w:tc>
        <w:tc>
          <w:tcPr>
            <w:tcW w:type="dxa" w:w="4032"/>
            <w:shd w:val="clear" w:color="auto" w:fill="F4F2EC"/>
          </w:tcPr>
          <w:p>
            <w:pPr>
              <w:spacing w:after="40" w:before="40"/>
            </w:pPr>
            <w:r>
              <w:rPr>
                <w:rFonts w:ascii="Calibri" w:hAnsi="Calibri" w:cs="Calibri"/>
                <w:color w:val="1A1A1A"/>
                <w:sz w:val="20"/>
                <w:szCs w:val="20"/>
              </w:rPr>
              <w:t>Caution — common stem; check trademark/domain</w:t>
            </w:r>
          </w:p>
        </w:tc>
      </w:tr>
      <w:tr>
        <w:tc>
          <w:tcPr>
            <w:tcW w:type="dxa" w:w="1728"/>
          </w:tcPr>
          <w:p>
            <w:pPr>
              <w:spacing w:after="40" w:before="40"/>
            </w:pPr>
            <w:r>
              <w:rPr>
                <w:rFonts w:ascii="Calibri" w:hAnsi="Calibri" w:cs="Calibri"/>
                <w:color w:val="1A1A1A"/>
                <w:sz w:val="20"/>
                <w:szCs w:val="20"/>
              </w:rPr>
              <w:t>Soma</w:t>
            </w:r>
          </w:p>
        </w:tc>
        <w:tc>
          <w:tcPr>
            <w:tcW w:type="dxa" w:w="3312"/>
          </w:tcPr>
          <w:p>
            <w:pPr>
              <w:spacing w:after="40" w:before="40"/>
            </w:pPr>
            <w:r>
              <w:rPr>
                <w:rFonts w:ascii="Calibri" w:hAnsi="Calibri" w:cs="Calibri"/>
                <w:color w:val="1A1A1A"/>
                <w:sz w:val="20"/>
                <w:szCs w:val="20"/>
              </w:rPr>
              <w:t>Body, wholeness</w:t>
            </w:r>
          </w:p>
        </w:tc>
        <w:tc>
          <w:tcPr>
            <w:tcW w:type="dxa" w:w="2736"/>
          </w:tcPr>
          <w:p>
            <w:pPr>
              <w:spacing w:after="40" w:before="40"/>
            </w:pPr>
            <w:r>
              <w:rPr>
                <w:rFonts w:ascii="Calibri" w:hAnsi="Calibri" w:cs="Calibri"/>
                <w:color w:val="1A1A1A"/>
                <w:sz w:val="20"/>
                <w:szCs w:val="20"/>
              </w:rPr>
              <w:t>EN ES PT DE</w:t>
            </w:r>
          </w:p>
        </w:tc>
        <w:tc>
          <w:tcPr>
            <w:tcW w:type="dxa" w:w="4032"/>
          </w:tcPr>
          <w:p>
            <w:pPr>
              <w:spacing w:after="40" w:before="40"/>
            </w:pPr>
            <w:r>
              <w:rPr>
                <w:rFonts w:ascii="Calibri" w:hAnsi="Calibri" w:cs="Calibri"/>
                <w:color w:val="1A1A1A"/>
                <w:sz w:val="20"/>
                <w:szCs w:val="20"/>
              </w:rPr>
              <w:t>Reject — drug reference in English; flagged</w:t>
            </w:r>
          </w:p>
        </w:tc>
      </w:tr>
    </w:tbl>
    <w:p>
      <w:pPr>
        <w:spacing w:after="80" w:before="240" w:line="276" w:lineRule="auto"/>
      </w:pPr>
      <w:r>
        <w:rPr>
          <w:rFonts w:ascii="Georgia" w:hAnsi="Georgia" w:cs="Georgia"/>
          <w:b/>
          <w:i w:val="0"/>
          <w:color w:val="13213B"/>
          <w:sz w:val="28"/>
          <w:szCs w:val="28"/>
        </w:rPr>
        <w:t>Cross-language pronunciation &amp; meaning notes</w:t>
      </w:r>
    </w:p>
    <w:tbl>
      <w:tblPr>
        <w:tblW w:type="auto" w:w="0"/>
        <w:jc w:val="center"/>
        <w:tblLook w:firstColumn="1" w:firstRow="1" w:lastColumn="0" w:lastRow="0" w:noHBand="0" w:noVBand="1" w:val="04A0"/>
        <w:tblBorders>
          <w:top w:val="single" w:sz="4" w:space="0" w:color="D8DDE8"/>
          <w:left w:val="single" w:sz="4" w:space="0" w:color="D8DDE8"/>
          <w:bottom w:val="single" w:sz="4" w:space="0" w:color="D8DDE8"/>
          <w:right w:val="single" w:sz="4" w:space="0" w:color="D8DDE8"/>
          <w:insideH w:val="single" w:sz="4" w:space="0" w:color="D8DDE8"/>
          <w:insideV w:val="single" w:sz="4" w:space="0" w:color="D8DDE8"/>
        </w:tblBorders>
      </w:tblPr>
      <w:tblGrid>
        <w:gridCol w:w="3216"/>
        <w:gridCol w:w="3216"/>
        <w:gridCol w:w="3216"/>
      </w:tblGrid>
      <w:tr>
        <w:tc>
          <w:tcPr>
            <w:tcW w:type="dxa" w:w="2160"/>
            <w:shd w:val="clear" w:color="auto" w:fill="13213B"/>
          </w:tcPr>
          <w:p>
            <w:pPr>
              <w:spacing w:after="40" w:before="40"/>
            </w:pPr>
            <w:r>
              <w:rPr>
                <w:rFonts w:ascii="Calibri" w:hAnsi="Calibri" w:cs="Calibri"/>
                <w:b/>
                <w:color w:val="FFFFFF"/>
                <w:sz w:val="20"/>
                <w:szCs w:val="20"/>
              </w:rPr>
              <w:t>Language</w:t>
            </w:r>
          </w:p>
        </w:tc>
        <w:tc>
          <w:tcPr>
            <w:tcW w:type="dxa" w:w="3456"/>
            <w:shd w:val="clear" w:color="auto" w:fill="13213B"/>
          </w:tcPr>
          <w:p>
            <w:pPr>
              <w:spacing w:after="40" w:before="40"/>
            </w:pPr>
            <w:r>
              <w:rPr>
                <w:rFonts w:ascii="Calibri" w:hAnsi="Calibri" w:cs="Calibri"/>
                <w:b/>
                <w:color w:val="FFFFFF"/>
                <w:sz w:val="20"/>
                <w:szCs w:val="20"/>
              </w:rPr>
              <w:t>“Lumina” reads as</w:t>
            </w:r>
          </w:p>
        </w:tc>
        <w:tc>
          <w:tcPr>
            <w:tcW w:type="dxa" w:w="4752"/>
            <w:shd w:val="clear" w:color="auto" w:fill="13213B"/>
          </w:tcPr>
          <w:p>
            <w:pPr>
              <w:spacing w:after="40" w:before="40"/>
            </w:pPr>
            <w:r>
              <w:rPr>
                <w:rFonts w:ascii="Calibri" w:hAnsi="Calibri" w:cs="Calibri"/>
                <w:b/>
                <w:color w:val="FFFFFF"/>
                <w:sz w:val="20"/>
                <w:szCs w:val="20"/>
              </w:rPr>
              <w:t>Note</w:t>
            </w:r>
          </w:p>
        </w:tc>
      </w:tr>
      <w:tr>
        <w:tc>
          <w:tcPr>
            <w:tcW w:type="dxa" w:w="2160"/>
          </w:tcPr>
          <w:p>
            <w:pPr>
              <w:spacing w:after="40" w:before="40"/>
            </w:pPr>
            <w:r>
              <w:rPr>
                <w:rFonts w:ascii="Calibri" w:hAnsi="Calibri" w:cs="Calibri"/>
                <w:color w:val="1A1A1A"/>
                <w:sz w:val="20"/>
                <w:szCs w:val="20"/>
              </w:rPr>
              <w:t>English</w:t>
            </w:r>
          </w:p>
        </w:tc>
        <w:tc>
          <w:tcPr>
            <w:tcW w:type="dxa" w:w="3456"/>
          </w:tcPr>
          <w:p>
            <w:pPr>
              <w:spacing w:after="40" w:before="40"/>
            </w:pPr>
            <w:r>
              <w:rPr>
                <w:rFonts w:ascii="Calibri" w:hAnsi="Calibri" w:cs="Calibri"/>
                <w:color w:val="1A1A1A"/>
                <w:sz w:val="20"/>
                <w:szCs w:val="20"/>
              </w:rPr>
              <w:t>LOO-mi-na</w:t>
            </w:r>
          </w:p>
        </w:tc>
        <w:tc>
          <w:tcPr>
            <w:tcW w:type="dxa" w:w="4752"/>
          </w:tcPr>
          <w:p>
            <w:pPr>
              <w:spacing w:after="40" w:before="40"/>
            </w:pPr>
            <w:r>
              <w:rPr>
                <w:rFonts w:ascii="Calibri" w:hAnsi="Calibri" w:cs="Calibri"/>
                <w:color w:val="1A1A1A"/>
                <w:sz w:val="20"/>
                <w:szCs w:val="20"/>
              </w:rPr>
              <w:t>Evokes “luminous”; positive.</w:t>
            </w:r>
          </w:p>
        </w:tc>
      </w:tr>
      <w:tr>
        <w:tc>
          <w:tcPr>
            <w:tcW w:type="dxa" w:w="2160"/>
            <w:shd w:val="clear" w:color="auto" w:fill="F4F2EC"/>
          </w:tcPr>
          <w:p>
            <w:pPr>
              <w:spacing w:after="40" w:before="40"/>
            </w:pPr>
            <w:r>
              <w:rPr>
                <w:rFonts w:ascii="Calibri" w:hAnsi="Calibri" w:cs="Calibri"/>
                <w:color w:val="1A1A1A"/>
                <w:sz w:val="20"/>
                <w:szCs w:val="20"/>
              </w:rPr>
              <w:t>Español</w:t>
            </w:r>
          </w:p>
        </w:tc>
        <w:tc>
          <w:tcPr>
            <w:tcW w:type="dxa" w:w="3456"/>
            <w:shd w:val="clear" w:color="auto" w:fill="F4F2EC"/>
          </w:tcPr>
          <w:p>
            <w:pPr>
              <w:spacing w:after="40" w:before="40"/>
            </w:pPr>
            <w:r>
              <w:rPr>
                <w:rFonts w:ascii="Calibri" w:hAnsi="Calibri" w:cs="Calibri"/>
                <w:color w:val="1A1A1A"/>
                <w:sz w:val="20"/>
                <w:szCs w:val="20"/>
              </w:rPr>
              <w:t>LU-mi-na</w:t>
            </w:r>
          </w:p>
        </w:tc>
        <w:tc>
          <w:tcPr>
            <w:tcW w:type="dxa" w:w="4752"/>
            <w:shd w:val="clear" w:color="auto" w:fill="F4F2EC"/>
          </w:tcPr>
          <w:p>
            <w:pPr>
              <w:spacing w:after="40" w:before="40"/>
            </w:pPr>
            <w:r>
              <w:rPr>
                <w:rFonts w:ascii="Calibri" w:hAnsi="Calibri" w:cs="Calibri"/>
                <w:color w:val="1A1A1A"/>
                <w:sz w:val="20"/>
                <w:szCs w:val="20"/>
              </w:rPr>
              <w:t>Clear; suggests “luz”, light.</w:t>
            </w:r>
          </w:p>
        </w:tc>
      </w:tr>
      <w:tr>
        <w:tc>
          <w:tcPr>
            <w:tcW w:type="dxa" w:w="2160"/>
          </w:tcPr>
          <w:p>
            <w:pPr>
              <w:spacing w:after="40" w:before="40"/>
            </w:pPr>
            <w:r>
              <w:rPr>
                <w:rFonts w:ascii="Calibri" w:hAnsi="Calibri" w:cs="Calibri"/>
                <w:color w:val="1A1A1A"/>
                <w:sz w:val="20"/>
                <w:szCs w:val="20"/>
              </w:rPr>
              <w:t>Français</w:t>
            </w:r>
          </w:p>
        </w:tc>
        <w:tc>
          <w:tcPr>
            <w:tcW w:type="dxa" w:w="3456"/>
          </w:tcPr>
          <w:p>
            <w:pPr>
              <w:spacing w:after="40" w:before="40"/>
            </w:pPr>
            <w:r>
              <w:rPr>
                <w:rFonts w:ascii="Calibri" w:hAnsi="Calibri" w:cs="Calibri"/>
                <w:color w:val="1A1A1A"/>
                <w:sz w:val="20"/>
                <w:szCs w:val="20"/>
              </w:rPr>
              <w:t>lu-mi-NA</w:t>
            </w:r>
          </w:p>
        </w:tc>
        <w:tc>
          <w:tcPr>
            <w:tcW w:type="dxa" w:w="4752"/>
          </w:tcPr>
          <w:p>
            <w:pPr>
              <w:spacing w:after="40" w:before="40"/>
            </w:pPr>
            <w:r>
              <w:rPr>
                <w:rFonts w:ascii="Calibri" w:hAnsi="Calibri" w:cs="Calibri"/>
                <w:color w:val="1A1A1A"/>
                <w:sz w:val="20"/>
                <w:szCs w:val="20"/>
              </w:rPr>
              <w:t>Soft, elegant; no negative sense.</w:t>
            </w:r>
          </w:p>
        </w:tc>
      </w:tr>
      <w:tr>
        <w:tc>
          <w:tcPr>
            <w:tcW w:type="dxa" w:w="2160"/>
            <w:shd w:val="clear" w:color="auto" w:fill="F4F2EC"/>
          </w:tcPr>
          <w:p>
            <w:pPr>
              <w:spacing w:after="40" w:before="40"/>
            </w:pPr>
            <w:r>
              <w:rPr>
                <w:rFonts w:ascii="Calibri" w:hAnsi="Calibri" w:cs="Calibri"/>
                <w:color w:val="1A1A1A"/>
                <w:sz w:val="20"/>
                <w:szCs w:val="20"/>
              </w:rPr>
              <w:t>Deutsch</w:t>
            </w:r>
          </w:p>
        </w:tc>
        <w:tc>
          <w:tcPr>
            <w:tcW w:type="dxa" w:w="3456"/>
            <w:shd w:val="clear" w:color="auto" w:fill="F4F2EC"/>
          </w:tcPr>
          <w:p>
            <w:pPr>
              <w:spacing w:after="40" w:before="40"/>
            </w:pPr>
            <w:r>
              <w:rPr>
                <w:rFonts w:ascii="Calibri" w:hAnsi="Calibri" w:cs="Calibri"/>
                <w:color w:val="1A1A1A"/>
                <w:sz w:val="20"/>
                <w:szCs w:val="20"/>
              </w:rPr>
              <w:t>LU-mi-na</w:t>
            </w:r>
          </w:p>
        </w:tc>
        <w:tc>
          <w:tcPr>
            <w:tcW w:type="dxa" w:w="4752"/>
            <w:shd w:val="clear" w:color="auto" w:fill="F4F2EC"/>
          </w:tcPr>
          <w:p>
            <w:pPr>
              <w:spacing w:after="40" w:before="40"/>
            </w:pPr>
            <w:r>
              <w:rPr>
                <w:rFonts w:ascii="Calibri" w:hAnsi="Calibri" w:cs="Calibri"/>
                <w:color w:val="1A1A1A"/>
                <w:sz w:val="20"/>
                <w:szCs w:val="20"/>
              </w:rPr>
              <w:t>Neutral-positive; easy to pronounce.</w:t>
            </w:r>
          </w:p>
        </w:tc>
      </w:tr>
      <w:tr>
        <w:tc>
          <w:tcPr>
            <w:tcW w:type="dxa" w:w="2160"/>
          </w:tcPr>
          <w:p>
            <w:pPr>
              <w:spacing w:after="40" w:before="40"/>
            </w:pPr>
            <w:r>
              <w:rPr>
                <w:rFonts w:ascii="Calibri" w:hAnsi="Calibri" w:cs="Calibri"/>
                <w:color w:val="1A1A1A"/>
                <w:sz w:val="20"/>
                <w:szCs w:val="20"/>
              </w:rPr>
              <w:t>Português</w:t>
            </w:r>
          </w:p>
        </w:tc>
        <w:tc>
          <w:tcPr>
            <w:tcW w:type="dxa" w:w="3456"/>
          </w:tcPr>
          <w:p>
            <w:pPr>
              <w:spacing w:after="40" w:before="40"/>
            </w:pPr>
            <w:r>
              <w:rPr>
                <w:rFonts w:ascii="Calibri" w:hAnsi="Calibri" w:cs="Calibri"/>
                <w:color w:val="1A1A1A"/>
                <w:sz w:val="20"/>
                <w:szCs w:val="20"/>
              </w:rPr>
              <w:t>LU-mi-na</w:t>
            </w:r>
          </w:p>
        </w:tc>
        <w:tc>
          <w:tcPr>
            <w:tcW w:type="dxa" w:w="4752"/>
          </w:tcPr>
          <w:p>
            <w:pPr>
              <w:spacing w:after="40" w:before="40"/>
            </w:pPr>
            <w:r>
              <w:rPr>
                <w:rFonts w:ascii="Calibri" w:hAnsi="Calibri" w:cs="Calibri"/>
                <w:color w:val="1A1A1A"/>
                <w:sz w:val="20"/>
                <w:szCs w:val="20"/>
              </w:rPr>
              <w:t>Suggests “luz”; warm.</w:t>
            </w:r>
          </w:p>
        </w:tc>
      </w:tr>
      <w:tr>
        <w:tc>
          <w:tcPr>
            <w:tcW w:type="dxa" w:w="2160"/>
            <w:shd w:val="clear" w:color="auto" w:fill="F4F2EC"/>
          </w:tcPr>
          <w:p>
            <w:pPr>
              <w:spacing w:after="40" w:before="40"/>
            </w:pPr>
            <w:r>
              <w:rPr>
                <w:rFonts w:ascii="Calibri" w:hAnsi="Calibri" w:cs="Calibri"/>
                <w:color w:val="1A1A1A"/>
                <w:sz w:val="20"/>
                <w:szCs w:val="20"/>
              </w:rPr>
              <w:t>Italiano</w:t>
            </w:r>
          </w:p>
        </w:tc>
        <w:tc>
          <w:tcPr>
            <w:tcW w:type="dxa" w:w="3456"/>
            <w:shd w:val="clear" w:color="auto" w:fill="F4F2EC"/>
          </w:tcPr>
          <w:p>
            <w:pPr>
              <w:spacing w:after="40" w:before="40"/>
            </w:pPr>
            <w:r>
              <w:rPr>
                <w:rFonts w:ascii="Calibri" w:hAnsi="Calibri" w:cs="Calibri"/>
                <w:color w:val="1A1A1A"/>
                <w:sz w:val="20"/>
                <w:szCs w:val="20"/>
              </w:rPr>
              <w:t>LU-mi-na</w:t>
            </w:r>
          </w:p>
        </w:tc>
        <w:tc>
          <w:tcPr>
            <w:tcW w:type="dxa" w:w="4752"/>
            <w:shd w:val="clear" w:color="auto" w:fill="F4F2EC"/>
          </w:tcPr>
          <w:p>
            <w:pPr>
              <w:spacing w:after="40" w:before="40"/>
            </w:pPr>
            <w:r>
              <w:rPr>
                <w:rFonts w:ascii="Calibri" w:hAnsi="Calibri" w:cs="Calibri"/>
                <w:color w:val="1A1A1A"/>
                <w:sz w:val="20"/>
                <w:szCs w:val="20"/>
              </w:rPr>
              <w:t>Close to “lumina/luminosa”; very natural.</w:t>
            </w:r>
          </w:p>
        </w:tc>
      </w:tr>
    </w:tbl>
    <w:p>
      <w:pPr>
        <w:spacing w:after="80" w:before="240" w:line="276" w:lineRule="auto"/>
      </w:pPr>
      <w:r>
        <w:rPr>
          <w:rFonts w:ascii="Georgia" w:hAnsi="Georgia" w:cs="Georgia"/>
          <w:b/>
          <w:i w:val="0"/>
          <w:color w:val="13213B"/>
          <w:sz w:val="28"/>
          <w:szCs w:val="28"/>
        </w:rPr>
        <w:t>Recommendation</w:t>
      </w:r>
    </w:p>
    <w:p>
      <w:pPr>
        <w:spacing w:after="120" w:before="0" w:line="276" w:lineRule="auto"/>
        <w:jc w:val="both"/>
      </w:pPr>
      <w:r>
        <w:rPr>
          <w:rFonts w:ascii="Calibri" w:hAnsi="Calibri" w:cs="Calibri"/>
          <w:b w:val="0"/>
          <w:i w:val="0"/>
          <w:color w:val="1A1A1A"/>
          <w:sz w:val="22"/>
          <w:szCs w:val="22"/>
        </w:rPr>
        <w:t>Primary recommendation: Lumina, with Kairo as a strong alternative. Both are short, pronounceable across all six markets and free of negative associations in this review. Trademark and domain clearance should be confirmed by the client before adoption.</w:t>
      </w:r>
    </w:p>
    <w:p>
      <w:pPr>
        <w:spacing w:after="120"/>
        <w:pBdr>
          <w:bottom w:val="single" w:sz="10" w:space="4" w:color="D8DDE8"/>
        </w:pBdr>
      </w:pPr>
    </w:p>
    <w:p>
      <w:pPr>
        <w:spacing w:after="40" w:before="0" w:line="276" w:lineRule="auto"/>
      </w:pPr>
      <w:r>
        <w:rPr>
          <w:rFonts w:ascii="Calibri" w:hAnsi="Calibri" w:cs="Calibri"/>
          <w:b w:val="0"/>
          <w:i/>
          <w:color w:val="6B7280"/>
          <w:sz w:val="16"/>
          <w:szCs w:val="16"/>
        </w:rPr>
        <w:t>Fictional demonstration sample created by Scriptorium to show method and presentation. Names are illustrative and are not trademark or legal clearance.</w:t>
      </w:r>
    </w:p>
    <w:p>
      <w:pPr>
        <w:spacing w:after="0" w:before="0" w:line="276" w:lineRule="auto"/>
      </w:pPr>
      <w:r>
        <w:rPr>
          <w:rFonts w:ascii="Calibri" w:hAnsi="Calibri" w:cs="Calibri"/>
          <w:b w:val="0"/>
          <w:i w:val="0"/>
          <w:color w:val="6B7280"/>
          <w:sz w:val="16"/>
          <w:szCs w:val="16"/>
        </w:rPr>
        <w:t>Scriptorium · Languages · Texts · Documentation · scriptorium-language-studio · josuepug@gmail.com</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color w:val="6B7280"/>
        <w:sz w:val="16"/>
        <w:szCs w:val="16"/>
      </w:rPr>
      <w:t>Scriptorium · Branding &amp; Transcreation · Brand Naming Report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