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DCAE41"/>
          <w:sz w:val="52"/>
        </w:rPr>
        <w:t>SCRIPTORIUM</w:t>
      </w:r>
    </w:p>
    <w:p>
      <w:pPr>
        <w:jc w:val="center"/>
      </w:pPr>
      <w:r>
        <w:rPr>
          <w:rFonts w:ascii="Calibri" w:hAnsi="Calibri"/>
          <w:color w:val="69707D"/>
          <w:sz w:val="20"/>
        </w:rPr>
        <w:t>Language &amp; Documentation Institute</w:t>
      </w:r>
    </w:p>
    <w:p>
      <w:pPr>
        <w:spacing w:after="320"/>
        <w:pBdr>
          <w:bottom w:val="single" w:sz="10" w:space="1" w:color="DCAE41"/>
        </w:pBdr>
      </w:pPr>
    </w:p>
    <w:p>
      <w:pPr>
        <w:jc w:val="center"/>
      </w:pPr>
      <w:r>
        <w:rPr>
          <w:rFonts w:ascii="Calibri" w:hAnsi="Calibri"/>
          <w:b/>
          <w:color w:val="162541"/>
          <w:sz w:val="24"/>
        </w:rPr>
        <w:t>ACADEMIC SAMPLE DOCUMENT 01</w:t>
      </w:r>
    </w:p>
    <w:p>
      <w:pPr>
        <w:jc w:val="center"/>
      </w:pPr>
      <w:r>
        <w:rPr>
          <w:rFonts w:ascii="Georgia" w:hAnsi="Georgia"/>
          <w:b/>
          <w:color w:val="1E232D"/>
          <w:sz w:val="36"/>
        </w:rPr>
        <w:t>Original English Research Article for Translation Demonstration</w:t>
      </w:r>
    </w:p>
    <w:tbl>
      <w:tblPr>
        <w:tblW w:type="auto" w:w="0"/>
        <w:jc w:val="center"/>
        <w:tblLayout w:type="autofit"/>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4773"/>
        <w:gridCol w:w="4773"/>
      </w:tblGrid>
      <w:tr>
        <w:tc>
          <w:tcPr>
            <w:tcW w:type="dxa" w:w="4773"/>
            <w:shd w:fill="162541"/>
            <w:vAlign w:val="center"/>
          </w:tcPr>
          <w:p>
            <w:pPr>
              <w:jc w:val="left"/>
            </w:pPr>
            <w:r/>
            <w:r>
              <w:rPr>
                <w:rFonts w:ascii="Calibri" w:hAnsi="Calibri"/>
                <w:b/>
                <w:color w:val="FFFFFF"/>
                <w:sz w:val="17"/>
              </w:rPr>
              <w:t>Category</w:t>
            </w:r>
          </w:p>
        </w:tc>
        <w:tc>
          <w:tcPr>
            <w:tcW w:type="dxa" w:w="4773"/>
            <w:vAlign w:val="center"/>
          </w:tcPr>
          <w:p>
            <w:pPr>
              <w:jc w:val="left"/>
            </w:pPr>
            <w:r/>
            <w:r>
              <w:rPr>
                <w:rFonts w:ascii="Calibri" w:hAnsi="Calibri"/>
                <w:b w:val="0"/>
                <w:color w:val="1E232D"/>
                <w:sz w:val="17"/>
              </w:rPr>
              <w:t>Academic / Research Article</w:t>
            </w:r>
          </w:p>
        </w:tc>
      </w:tr>
      <w:tr>
        <w:tc>
          <w:tcPr>
            <w:tcW w:type="dxa" w:w="4773"/>
            <w:shd w:fill="162541"/>
            <w:vAlign w:val="center"/>
          </w:tcPr>
          <w:p>
            <w:pPr>
              <w:jc w:val="left"/>
            </w:pPr>
            <w:r/>
            <w:r>
              <w:rPr>
                <w:rFonts w:ascii="Calibri" w:hAnsi="Calibri"/>
                <w:b/>
                <w:color w:val="FFFFFF"/>
                <w:sz w:val="17"/>
              </w:rPr>
              <w:t>Source Language</w:t>
            </w:r>
          </w:p>
        </w:tc>
        <w:tc>
          <w:tcPr>
            <w:tcW w:type="dxa" w:w="4773"/>
            <w:vAlign w:val="center"/>
          </w:tcPr>
          <w:p>
            <w:pPr>
              <w:jc w:val="left"/>
            </w:pPr>
            <w:r/>
            <w:r>
              <w:rPr>
                <w:rFonts w:ascii="Calibri" w:hAnsi="Calibri"/>
                <w:b w:val="0"/>
                <w:color w:val="1E232D"/>
                <w:sz w:val="17"/>
              </w:rPr>
              <w:t>English</w:t>
            </w:r>
          </w:p>
        </w:tc>
      </w:tr>
      <w:tr>
        <w:tc>
          <w:tcPr>
            <w:tcW w:type="dxa" w:w="4773"/>
            <w:shd w:fill="162541"/>
            <w:vAlign w:val="center"/>
          </w:tcPr>
          <w:p>
            <w:pPr>
              <w:jc w:val="left"/>
            </w:pPr>
            <w:r/>
            <w:r>
              <w:rPr>
                <w:rFonts w:ascii="Calibri" w:hAnsi="Calibri"/>
                <w:b/>
                <w:color w:val="FFFFFF"/>
                <w:sz w:val="17"/>
              </w:rPr>
              <w:t>Intended Target Languages</w:t>
            </w:r>
          </w:p>
        </w:tc>
        <w:tc>
          <w:tcPr>
            <w:tcW w:type="dxa" w:w="4773"/>
            <w:vAlign w:val="center"/>
          </w:tcPr>
          <w:p>
            <w:pPr>
              <w:jc w:val="left"/>
            </w:pPr>
            <w:r/>
            <w:r>
              <w:rPr>
                <w:rFonts w:ascii="Calibri" w:hAnsi="Calibri"/>
                <w:b w:val="0"/>
                <w:color w:val="1E232D"/>
                <w:sz w:val="17"/>
              </w:rPr>
              <w:t>Spanish, German, French, Portuguese</w:t>
            </w:r>
          </w:p>
        </w:tc>
      </w:tr>
      <w:tr>
        <w:tc>
          <w:tcPr>
            <w:tcW w:type="dxa" w:w="4773"/>
            <w:shd w:fill="162541"/>
            <w:vAlign w:val="center"/>
          </w:tcPr>
          <w:p>
            <w:pPr>
              <w:jc w:val="left"/>
            </w:pPr>
            <w:r/>
            <w:r>
              <w:rPr>
                <w:rFonts w:ascii="Calibri" w:hAnsi="Calibri"/>
                <w:b/>
                <w:color w:val="FFFFFF"/>
                <w:sz w:val="17"/>
              </w:rPr>
              <w:t>Field</w:t>
            </w:r>
          </w:p>
        </w:tc>
        <w:tc>
          <w:tcPr>
            <w:tcW w:type="dxa" w:w="4773"/>
            <w:vAlign w:val="center"/>
          </w:tcPr>
          <w:p>
            <w:pPr>
              <w:jc w:val="left"/>
            </w:pPr>
            <w:r/>
            <w:r>
              <w:rPr>
                <w:rFonts w:ascii="Calibri" w:hAnsi="Calibri"/>
                <w:b w:val="0"/>
                <w:color w:val="1E232D"/>
                <w:sz w:val="17"/>
              </w:rPr>
              <w:t>Psychology, Cognitive Science, Educational Technology</w:t>
            </w:r>
          </w:p>
        </w:tc>
      </w:tr>
      <w:tr>
        <w:tc>
          <w:tcPr>
            <w:tcW w:type="dxa" w:w="4773"/>
            <w:shd w:fill="162541"/>
            <w:vAlign w:val="center"/>
          </w:tcPr>
          <w:p>
            <w:pPr>
              <w:jc w:val="left"/>
            </w:pPr>
            <w:r/>
            <w:r>
              <w:rPr>
                <w:rFonts w:ascii="Calibri" w:hAnsi="Calibri"/>
                <w:b/>
                <w:color w:val="FFFFFF"/>
                <w:sz w:val="17"/>
              </w:rPr>
              <w:t>Difficulty</w:t>
            </w:r>
          </w:p>
        </w:tc>
        <w:tc>
          <w:tcPr>
            <w:tcW w:type="dxa" w:w="4773"/>
            <w:vAlign w:val="center"/>
          </w:tcPr>
          <w:p>
            <w:pPr>
              <w:jc w:val="left"/>
            </w:pPr>
            <w:r/>
            <w:r>
              <w:rPr>
                <w:rFonts w:ascii="Calibri" w:hAnsi="Calibri"/>
                <w:b w:val="0"/>
                <w:color w:val="1E232D"/>
                <w:sz w:val="17"/>
              </w:rPr>
              <w:t>Advanced academic register</w:t>
            </w:r>
          </w:p>
        </w:tc>
      </w:tr>
      <w:tr>
        <w:tc>
          <w:tcPr>
            <w:tcW w:type="dxa" w:w="4773"/>
            <w:shd w:fill="162541"/>
            <w:vAlign w:val="center"/>
          </w:tcPr>
          <w:p>
            <w:pPr>
              <w:jc w:val="left"/>
            </w:pPr>
            <w:r/>
            <w:r>
              <w:rPr>
                <w:rFonts w:ascii="Calibri" w:hAnsi="Calibri"/>
                <w:b/>
                <w:color w:val="FFFFFF"/>
                <w:sz w:val="17"/>
              </w:rPr>
              <w:t>Use Case</w:t>
            </w:r>
          </w:p>
        </w:tc>
        <w:tc>
          <w:tcPr>
            <w:tcW w:type="dxa" w:w="4773"/>
            <w:vAlign w:val="center"/>
          </w:tcPr>
          <w:p>
            <w:pPr>
              <w:jc w:val="left"/>
            </w:pPr>
            <w:r/>
            <w:r>
              <w:rPr>
                <w:rFonts w:ascii="Calibri" w:hAnsi="Calibri"/>
                <w:b w:val="0"/>
                <w:color w:val="1E232D"/>
                <w:sz w:val="17"/>
              </w:rPr>
              <w:t>Portfolio sample for translation, formatting, and terminology review</w:t>
            </w:r>
          </w:p>
        </w:tc>
      </w:tr>
      <w:tr>
        <w:tc>
          <w:tcPr>
            <w:tcW w:type="dxa" w:w="4773"/>
            <w:shd w:fill="162541"/>
            <w:vAlign w:val="center"/>
          </w:tcPr>
          <w:p>
            <w:pPr>
              <w:jc w:val="left"/>
            </w:pPr>
            <w:r/>
            <w:r>
              <w:rPr>
                <w:rFonts w:ascii="Calibri" w:hAnsi="Calibri"/>
                <w:b/>
                <w:color w:val="FFFFFF"/>
                <w:sz w:val="17"/>
              </w:rPr>
              <w:t>Ethical Note</w:t>
            </w:r>
          </w:p>
        </w:tc>
        <w:tc>
          <w:tcPr>
            <w:tcW w:type="dxa" w:w="4773"/>
            <w:vAlign w:val="center"/>
          </w:tcPr>
          <w:p>
            <w:pPr>
              <w:jc w:val="left"/>
            </w:pPr>
            <w:r/>
            <w:r>
              <w:rPr>
                <w:rFonts w:ascii="Calibri" w:hAnsi="Calibri"/>
                <w:b w:val="0"/>
                <w:color w:val="1E232D"/>
                <w:sz w:val="17"/>
              </w:rPr>
              <w:t>Fictional article. No real participants, authors, journal, or data.</w:t>
            </w:r>
          </w:p>
        </w:tc>
      </w:tr>
    </w:tbl>
    <w:p>
      <w:pPr>
        <w:spacing w:before="200"/>
        <w:jc w:val="center"/>
      </w:pPr>
      <w:r>
        <w:rPr>
          <w:rFonts w:ascii="Calibri" w:hAnsi="Calibri"/>
          <w:i/>
          <w:color w:val="69707D"/>
          <w:sz w:val="18"/>
        </w:rPr>
        <w:t>Prepared for Scriptorium portfolio development - June 2026</w:t>
      </w:r>
    </w:p>
    <w:p>
      <w:r>
        <w:br w:type="page"/>
      </w:r>
    </w:p>
    <w:p>
      <w:pPr>
        <w:jc w:val="center"/>
      </w:pPr>
      <w:r>
        <w:rPr>
          <w:rFonts w:ascii="Georgia" w:hAnsi="Georgia"/>
          <w:b/>
          <w:color w:val="162541"/>
          <w:sz w:val="24"/>
        </w:rPr>
        <w:t>Journal of Cognitive Learning Research</w:t>
      </w:r>
    </w:p>
    <w:p>
      <w:pPr>
        <w:jc w:val="center"/>
      </w:pPr>
      <w:r>
        <w:rPr>
          <w:rFonts w:ascii="Calibri" w:hAnsi="Calibri"/>
          <w:color w:val="69707D"/>
          <w:sz w:val="17"/>
        </w:rPr>
        <w:t>Vol. 18, No. 2, 2025, pp. 114-132 | Manuscript ID: SCR-ACA-EN-001</w:t>
      </w:r>
    </w:p>
    <w:p>
      <w:pPr>
        <w:jc w:val="center"/>
      </w:pPr>
      <w:r>
        <w:rPr>
          <w:rFonts w:ascii="Georgia" w:hAnsi="Georgia"/>
          <w:b/>
          <w:color w:val="1E232D"/>
          <w:sz w:val="36"/>
        </w:rPr>
        <w:t>The Influence of Artificial Intelligence-Assisted Learning on Cognitive Flexibility and Academic Performance Among University Students</w:t>
      </w:r>
    </w:p>
    <w:p>
      <w:pPr>
        <w:jc w:val="center"/>
      </w:pPr>
      <w:r>
        <w:rPr>
          <w:rFonts w:ascii="Calibri" w:hAnsi="Calibri"/>
          <w:color w:val="69707D"/>
          <w:sz w:val="20"/>
        </w:rPr>
        <w:t>Emily Carter, PhD; Michael Thompson, MSc; Elena Rossi, MA</w:t>
      </w:r>
    </w:p>
    <w:p>
      <w:pPr>
        <w:jc w:val="center"/>
      </w:pPr>
      <w:r>
        <w:rPr>
          <w:rFonts w:ascii="Calibri" w:hAnsi="Calibri"/>
          <w:i/>
          <w:color w:val="69707D"/>
          <w:sz w:val="18"/>
        </w:rPr>
        <w:t>Department of Educational Psychology, Northbridge Institute of Learning Sciences</w:t>
      </w:r>
    </w:p>
    <w:p>
      <w:pPr>
        <w:pStyle w:val="Heading1"/>
      </w:pPr>
      <w:r>
        <w:t>Abstract</w:t>
      </w:r>
    </w:p>
    <w:p>
      <w:pPr>
        <w:spacing w:line="259" w:lineRule="auto" w:after="160"/>
      </w:pPr>
      <w:r>
        <w:t>Artificial intelligence-assisted learning systems are increasingly used in higher education, yet their cognitive effects remain incompletely understood. This fictional demonstration study examines whether structured interaction with an AI tutoring interface is associated with changes in cognitive flexibility, self-regulated learning, and academic performance among undergraduate students. A quasi-experimental design was simulated with 186 students enrolled in introductory research methodology courses. Participants completed a six-week learning module either with access to an AI-assisted study companion or with conventional digital resources. Outcomes included a cognitive flexibility inventory, a self-regulated learning scale, weekly formative quizzes, and a final applied assessment. The simulated results suggested moderate improvements in cognitive flexibility and self-regulated learning among students using the AI-assisted system, with the strongest gains observed among participants who used the system to compare alternative explanations rather than to obtain direct answers. Regression models indicated that reflective prompting and error analysis were stronger predictors of performance than total time spent with the tool. These findings illustrate the importance of translating AI access into pedagogically structured practice. For translation purposes, the text contains specialized terminology from psychology, educational technology, statistics, and academic writing.</w:t>
      </w:r>
    </w:p>
    <w:p>
      <w:r>
        <w:rPr>
          <w:rFonts w:ascii="Calibri" w:hAnsi="Calibri"/>
          <w:b/>
          <w:color w:val="162541"/>
          <w:sz w:val="19"/>
        </w:rPr>
        <w:t xml:space="preserve">Keywords: </w:t>
      </w:r>
      <w:r>
        <w:rPr>
          <w:rFonts w:ascii="Calibri" w:hAnsi="Calibri"/>
          <w:color w:val="1E232D"/>
          <w:sz w:val="19"/>
        </w:rPr>
        <w:t>artificial intelligence; cognitive flexibility; self-regulated learning; academic performance; higher education; educational psychology</w:t>
      </w:r>
    </w:p>
    <w:p>
      <w:pPr>
        <w:pStyle w:val="Heading1"/>
      </w:pPr>
      <w:r>
        <w:t>1. Introduction</w:t>
      </w:r>
    </w:p>
    <w:p>
      <w:pPr>
        <w:spacing w:line="259" w:lineRule="auto" w:after="120"/>
      </w:pPr>
      <w:r>
        <w:t>The integration of artificial intelligence into university learning environments has shifted from experimental novelty to routine academic practice. Students now use conversational systems, adaptive platforms, automated feedback tools, and writing assistants to plan study sessions, clarify difficult concepts, and generate practice questions. Although these systems may improve access to feedback, their educational value depends on the way they are embedded within learning activities. A tool that merely accelerates answer retrieval may reduce productive struggle, while a tool that encourages comparison, revision, and explanation may support deeper processing.</w:t>
      </w:r>
    </w:p>
    <w:p>
      <w:pPr>
        <w:spacing w:line="259" w:lineRule="auto" w:after="120"/>
      </w:pPr>
      <w:r>
        <w:t>Cognitive flexibility is a central construct in this debate. It refers to the capacity to shift between perspectives, reorganize information, and adapt strategies when facing ambiguous or novel problems. In academic contexts, cognitive flexibility supports transfer of learning, critical thinking, hypothesis testing, and the ability to revise one’s interpretation when new evidence becomes available. These abilities are especially relevant in research methodology courses, where students must evaluate evidence, identify methodological limitations, and distinguish between correlation, causation, bias, and measurement error.</w:t>
      </w:r>
    </w:p>
    <w:p>
      <w:pPr>
        <w:spacing w:line="259" w:lineRule="auto" w:after="120"/>
      </w:pPr>
      <w:r>
        <w:t>The present demonstration article was created as an original sample for translation and formatting purposes. It resembles the structure of a conventional research article, but all authors, data, instruments, and results are fictional. Its purpose is to provide a realistic source text containing academic terminology, methodological descriptions, statistical language, and discipline-specific phraseology.</w:t>
      </w:r>
    </w:p>
    <w:p>
      <w:pPr>
        <w:pStyle w:val="Heading1"/>
      </w:pPr>
      <w:r>
        <w:t>2. Theoretical Background</w:t>
      </w:r>
    </w:p>
    <w:p>
      <w:pPr>
        <w:spacing w:line="259" w:lineRule="auto" w:after="120"/>
      </w:pPr>
      <w:r>
        <w:t>Research on self-regulated learning emphasizes that students learn more effectively when they monitor comprehension, set goals, select strategies, and adjust behavior after receiving feedback. AI-assisted systems can support these processes by offering immediate responses, generating alternative examples, and prompting students to explain their reasoning. However, the same systems can also produce dependency when learners outsource interpretation without evaluating the response.</w:t>
      </w:r>
    </w:p>
    <w:p>
      <w:pPr>
        <w:spacing w:line="259" w:lineRule="auto" w:after="120"/>
      </w:pPr>
      <w:r>
        <w:t>From a cognitive perspective, the quality of interaction matters more than exposure alone. Reflective prompts, such as “compare two explanations,” “identify the weakest assumption,” or “explain why this answer could be wrong,” may encourage metacognitive control. In contrast, prompts that request a final answer without reasoning may reinforce passive learning. A translation of this type of text must preserve distinctions between related terms such as feedback, reinforcement, correction, scaffolding, metacognition, and self-regulation.</w:t>
      </w:r>
    </w:p>
    <w:p>
      <w:pPr>
        <w:pStyle w:val="Heading1"/>
      </w:pPr>
      <w:r>
        <w:t>3. Method</w:t>
      </w:r>
    </w:p>
    <w:p>
      <w:pPr>
        <w:spacing w:line="259" w:lineRule="auto" w:after="120"/>
      </w:pPr>
      <w:r>
        <w:t>A quasi-experimental simulation was designed to model two instructional conditions. The AI-assisted learning group used a structured tutoring interface integrated into a six-week research methodology module. The comparison group used the same readings, slides, and quizzes but did not have access to the AI interface. Both groups received identical learning objectives, assessment rubrics, and instructor feedback.</w:t>
      </w:r>
    </w:p>
    <w:p>
      <w:pPr>
        <w:spacing w:line="259" w:lineRule="auto" w:after="120"/>
      </w:pPr>
      <w:r>
        <w:t>The simulated sample consisted of 186 undergraduate students between 18 and 27 years of age. Participants were distributed across four course sections taught by the same instructor. The AI-assisted group included 94 students, and the comparison group included 92 students. Students with incomplete simulated attendance records were excluded from the final analysis.</w:t>
      </w:r>
    </w:p>
    <w:p>
      <w:pPr>
        <w:spacing w:line="259" w:lineRule="auto" w:after="120"/>
      </w:pPr>
      <w:r>
        <w:t>Measures included a Cognitive Flexibility Inventory, a Self-Regulated Learning Index, six weekly quizzes, and a final applied assessment requiring interpretation of a short empirical report. All instruments were modeled for demonstration and do not represent real psychometric data. The final assessment required students to identify research design limitations, interpret basic statistical results, and propose an improved methodological approach.</w:t>
      </w:r>
    </w:p>
    <w:p>
      <w:pPr>
        <w:pStyle w:val="Heading2"/>
      </w:pPr>
      <w:r>
        <w:t>Table 1</w:t>
      </w:r>
    </w:p>
    <w:p>
      <w:r>
        <w:rPr>
          <w:rFonts w:ascii="Calibri" w:hAnsi="Calibri"/>
          <w:i/>
          <w:color w:val="69707D"/>
          <w:sz w:val="18"/>
        </w:rPr>
        <w:t>Simulated participant characteristics by instructional condition</w:t>
      </w:r>
    </w:p>
    <w:tbl>
      <w:tblPr>
        <w:tblW w:type="auto" w:w="0"/>
        <w:jc w:val="center"/>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387"/>
        <w:gridCol w:w="2387"/>
        <w:gridCol w:w="2387"/>
        <w:gridCol w:w="2387"/>
      </w:tblGrid>
      <w:tr>
        <w:tc>
          <w:tcPr>
            <w:tcW w:type="dxa" w:w="2387"/>
            <w:shd w:fill="162541"/>
            <w:vAlign w:val="center"/>
          </w:tcPr>
          <w:p>
            <w:pPr>
              <w:jc w:val="left"/>
            </w:pPr>
            <w:r/>
            <w:r>
              <w:rPr>
                <w:rFonts w:ascii="Calibri" w:hAnsi="Calibri"/>
                <w:b/>
                <w:color w:val="FFFFFF"/>
                <w:sz w:val="16"/>
              </w:rPr>
              <w:t>Characteristic</w:t>
            </w:r>
          </w:p>
        </w:tc>
        <w:tc>
          <w:tcPr>
            <w:tcW w:type="dxa" w:w="2387"/>
            <w:shd w:fill="162541"/>
            <w:vAlign w:val="center"/>
          </w:tcPr>
          <w:p>
            <w:pPr>
              <w:jc w:val="left"/>
            </w:pPr>
            <w:r/>
            <w:r>
              <w:rPr>
                <w:rFonts w:ascii="Calibri" w:hAnsi="Calibri"/>
                <w:b/>
                <w:color w:val="FFFFFF"/>
                <w:sz w:val="16"/>
              </w:rPr>
              <w:t>AI-assisted group (n = 94)</w:t>
            </w:r>
          </w:p>
        </w:tc>
        <w:tc>
          <w:tcPr>
            <w:tcW w:type="dxa" w:w="2387"/>
            <w:shd w:fill="162541"/>
            <w:vAlign w:val="center"/>
          </w:tcPr>
          <w:p>
            <w:pPr>
              <w:jc w:val="left"/>
            </w:pPr>
            <w:r/>
            <w:r>
              <w:rPr>
                <w:rFonts w:ascii="Calibri" w:hAnsi="Calibri"/>
                <w:b/>
                <w:color w:val="FFFFFF"/>
                <w:sz w:val="16"/>
              </w:rPr>
              <w:t>Comparison group (n = 92)</w:t>
            </w:r>
          </w:p>
        </w:tc>
        <w:tc>
          <w:tcPr>
            <w:tcW w:type="dxa" w:w="2387"/>
            <w:shd w:fill="162541"/>
            <w:vAlign w:val="center"/>
          </w:tcPr>
          <w:p>
            <w:pPr>
              <w:jc w:val="left"/>
            </w:pPr>
            <w:r/>
            <w:r>
              <w:rPr>
                <w:rFonts w:ascii="Calibri" w:hAnsi="Calibri"/>
                <w:b/>
                <w:color w:val="FFFFFF"/>
                <w:sz w:val="16"/>
              </w:rPr>
              <w:t>Total sample (N = 186)</w:t>
            </w:r>
          </w:p>
        </w:tc>
      </w:tr>
      <w:tr>
        <w:tc>
          <w:tcPr>
            <w:tcW w:type="dxa" w:w="2387"/>
            <w:vAlign w:val="center"/>
          </w:tcPr>
          <w:p>
            <w:pPr>
              <w:jc w:val="left"/>
            </w:pPr>
            <w:r/>
            <w:r>
              <w:rPr>
                <w:rFonts w:ascii="Calibri" w:hAnsi="Calibri"/>
                <w:b w:val="0"/>
                <w:color w:val="1E232D"/>
                <w:sz w:val="16"/>
              </w:rPr>
              <w:t>Mean age (SD)</w:t>
            </w:r>
          </w:p>
        </w:tc>
        <w:tc>
          <w:tcPr>
            <w:tcW w:type="dxa" w:w="2387"/>
            <w:vAlign w:val="center"/>
          </w:tcPr>
          <w:p>
            <w:pPr>
              <w:jc w:val="left"/>
            </w:pPr>
            <w:r/>
            <w:r>
              <w:rPr>
                <w:rFonts w:ascii="Calibri" w:hAnsi="Calibri"/>
                <w:b w:val="0"/>
                <w:color w:val="1E232D"/>
                <w:sz w:val="16"/>
              </w:rPr>
              <w:t>20.8 (2.1)</w:t>
            </w:r>
          </w:p>
        </w:tc>
        <w:tc>
          <w:tcPr>
            <w:tcW w:type="dxa" w:w="2387"/>
            <w:vAlign w:val="center"/>
          </w:tcPr>
          <w:p>
            <w:pPr>
              <w:jc w:val="left"/>
            </w:pPr>
            <w:r/>
            <w:r>
              <w:rPr>
                <w:rFonts w:ascii="Calibri" w:hAnsi="Calibri"/>
                <w:b w:val="0"/>
                <w:color w:val="1E232D"/>
                <w:sz w:val="16"/>
              </w:rPr>
              <w:t>21.1 (2.4)</w:t>
            </w:r>
          </w:p>
        </w:tc>
        <w:tc>
          <w:tcPr>
            <w:tcW w:type="dxa" w:w="2387"/>
            <w:vAlign w:val="center"/>
          </w:tcPr>
          <w:p>
            <w:pPr>
              <w:jc w:val="left"/>
            </w:pPr>
            <w:r/>
            <w:r>
              <w:rPr>
                <w:rFonts w:ascii="Calibri" w:hAnsi="Calibri"/>
                <w:b w:val="0"/>
                <w:color w:val="1E232D"/>
                <w:sz w:val="16"/>
              </w:rPr>
              <w:t>20.9 (2.3)</w:t>
            </w:r>
          </w:p>
        </w:tc>
      </w:tr>
      <w:tr>
        <w:tc>
          <w:tcPr>
            <w:tcW w:type="dxa" w:w="2387"/>
            <w:vAlign w:val="center"/>
          </w:tcPr>
          <w:p>
            <w:pPr>
              <w:jc w:val="left"/>
            </w:pPr>
            <w:r/>
            <w:r>
              <w:rPr>
                <w:rFonts w:ascii="Calibri" w:hAnsi="Calibri"/>
                <w:b w:val="0"/>
                <w:color w:val="1E232D"/>
                <w:sz w:val="16"/>
              </w:rPr>
              <w:t>Female participants</w:t>
            </w:r>
          </w:p>
        </w:tc>
        <w:tc>
          <w:tcPr>
            <w:tcW w:type="dxa" w:w="2387"/>
            <w:vAlign w:val="center"/>
          </w:tcPr>
          <w:p>
            <w:pPr>
              <w:jc w:val="left"/>
            </w:pPr>
            <w:r/>
            <w:r>
              <w:rPr>
                <w:rFonts w:ascii="Calibri" w:hAnsi="Calibri"/>
                <w:b w:val="0"/>
                <w:color w:val="1E232D"/>
                <w:sz w:val="16"/>
              </w:rPr>
              <w:t>58%</w:t>
            </w:r>
          </w:p>
        </w:tc>
        <w:tc>
          <w:tcPr>
            <w:tcW w:type="dxa" w:w="2387"/>
            <w:vAlign w:val="center"/>
          </w:tcPr>
          <w:p>
            <w:pPr>
              <w:jc w:val="left"/>
            </w:pPr>
            <w:r/>
            <w:r>
              <w:rPr>
                <w:rFonts w:ascii="Calibri" w:hAnsi="Calibri"/>
                <w:b w:val="0"/>
                <w:color w:val="1E232D"/>
                <w:sz w:val="16"/>
              </w:rPr>
              <w:t>55%</w:t>
            </w:r>
          </w:p>
        </w:tc>
        <w:tc>
          <w:tcPr>
            <w:tcW w:type="dxa" w:w="2387"/>
            <w:vAlign w:val="center"/>
          </w:tcPr>
          <w:p>
            <w:pPr>
              <w:jc w:val="left"/>
            </w:pPr>
            <w:r/>
            <w:r>
              <w:rPr>
                <w:rFonts w:ascii="Calibri" w:hAnsi="Calibri"/>
                <w:b w:val="0"/>
                <w:color w:val="1E232D"/>
                <w:sz w:val="16"/>
              </w:rPr>
              <w:t>56%</w:t>
            </w:r>
          </w:p>
        </w:tc>
      </w:tr>
      <w:tr>
        <w:tc>
          <w:tcPr>
            <w:tcW w:type="dxa" w:w="2387"/>
            <w:vAlign w:val="center"/>
          </w:tcPr>
          <w:p>
            <w:pPr>
              <w:jc w:val="left"/>
            </w:pPr>
            <w:r/>
            <w:r>
              <w:rPr>
                <w:rFonts w:ascii="Calibri" w:hAnsi="Calibri"/>
                <w:b w:val="0"/>
                <w:color w:val="1E232D"/>
                <w:sz w:val="16"/>
              </w:rPr>
              <w:t>First-generation students</w:t>
            </w:r>
          </w:p>
        </w:tc>
        <w:tc>
          <w:tcPr>
            <w:tcW w:type="dxa" w:w="2387"/>
            <w:vAlign w:val="center"/>
          </w:tcPr>
          <w:p>
            <w:pPr>
              <w:jc w:val="left"/>
            </w:pPr>
            <w:r/>
            <w:r>
              <w:rPr>
                <w:rFonts w:ascii="Calibri" w:hAnsi="Calibri"/>
                <w:b w:val="0"/>
                <w:color w:val="1E232D"/>
                <w:sz w:val="16"/>
              </w:rPr>
              <w:t>31%</w:t>
            </w:r>
          </w:p>
        </w:tc>
        <w:tc>
          <w:tcPr>
            <w:tcW w:type="dxa" w:w="2387"/>
            <w:vAlign w:val="center"/>
          </w:tcPr>
          <w:p>
            <w:pPr>
              <w:jc w:val="left"/>
            </w:pPr>
            <w:r/>
            <w:r>
              <w:rPr>
                <w:rFonts w:ascii="Calibri" w:hAnsi="Calibri"/>
                <w:b w:val="0"/>
                <w:color w:val="1E232D"/>
                <w:sz w:val="16"/>
              </w:rPr>
              <w:t>29%</w:t>
            </w:r>
          </w:p>
        </w:tc>
        <w:tc>
          <w:tcPr>
            <w:tcW w:type="dxa" w:w="2387"/>
            <w:vAlign w:val="center"/>
          </w:tcPr>
          <w:p>
            <w:pPr>
              <w:jc w:val="left"/>
            </w:pPr>
            <w:r/>
            <w:r>
              <w:rPr>
                <w:rFonts w:ascii="Calibri" w:hAnsi="Calibri"/>
                <w:b w:val="0"/>
                <w:color w:val="1E232D"/>
                <w:sz w:val="16"/>
              </w:rPr>
              <w:t>30%</w:t>
            </w:r>
          </w:p>
        </w:tc>
      </w:tr>
      <w:tr>
        <w:tc>
          <w:tcPr>
            <w:tcW w:type="dxa" w:w="2387"/>
            <w:vAlign w:val="center"/>
          </w:tcPr>
          <w:p>
            <w:pPr>
              <w:jc w:val="left"/>
            </w:pPr>
            <w:r/>
            <w:r>
              <w:rPr>
                <w:rFonts w:ascii="Calibri" w:hAnsi="Calibri"/>
                <w:b w:val="0"/>
                <w:color w:val="1E232D"/>
                <w:sz w:val="16"/>
              </w:rPr>
              <w:t>Mean baseline GPA</w:t>
            </w:r>
          </w:p>
        </w:tc>
        <w:tc>
          <w:tcPr>
            <w:tcW w:type="dxa" w:w="2387"/>
            <w:vAlign w:val="center"/>
          </w:tcPr>
          <w:p>
            <w:pPr>
              <w:jc w:val="left"/>
            </w:pPr>
            <w:r/>
            <w:r>
              <w:rPr>
                <w:rFonts w:ascii="Calibri" w:hAnsi="Calibri"/>
                <w:b w:val="0"/>
                <w:color w:val="1E232D"/>
                <w:sz w:val="16"/>
              </w:rPr>
              <w:t>3.24</w:t>
            </w:r>
          </w:p>
        </w:tc>
        <w:tc>
          <w:tcPr>
            <w:tcW w:type="dxa" w:w="2387"/>
            <w:vAlign w:val="center"/>
          </w:tcPr>
          <w:p>
            <w:pPr>
              <w:jc w:val="left"/>
            </w:pPr>
            <w:r/>
            <w:r>
              <w:rPr>
                <w:rFonts w:ascii="Calibri" w:hAnsi="Calibri"/>
                <w:b w:val="0"/>
                <w:color w:val="1E232D"/>
                <w:sz w:val="16"/>
              </w:rPr>
              <w:t>3.19</w:t>
            </w:r>
          </w:p>
        </w:tc>
        <w:tc>
          <w:tcPr>
            <w:tcW w:type="dxa" w:w="2387"/>
            <w:vAlign w:val="center"/>
          </w:tcPr>
          <w:p>
            <w:pPr>
              <w:jc w:val="left"/>
            </w:pPr>
            <w:r/>
            <w:r>
              <w:rPr>
                <w:rFonts w:ascii="Calibri" w:hAnsi="Calibri"/>
                <w:b w:val="0"/>
                <w:color w:val="1E232D"/>
                <w:sz w:val="16"/>
              </w:rPr>
              <w:t>3.21</w:t>
            </w:r>
          </w:p>
        </w:tc>
      </w:tr>
      <w:tr>
        <w:tc>
          <w:tcPr>
            <w:tcW w:type="dxa" w:w="2387"/>
            <w:vAlign w:val="center"/>
          </w:tcPr>
          <w:p>
            <w:pPr>
              <w:jc w:val="left"/>
            </w:pPr>
            <w:r/>
            <w:r>
              <w:rPr>
                <w:rFonts w:ascii="Calibri" w:hAnsi="Calibri"/>
                <w:b w:val="0"/>
                <w:color w:val="1E232D"/>
                <w:sz w:val="16"/>
              </w:rPr>
              <w:t>Prior AI tool use</w:t>
            </w:r>
          </w:p>
        </w:tc>
        <w:tc>
          <w:tcPr>
            <w:tcW w:type="dxa" w:w="2387"/>
            <w:vAlign w:val="center"/>
          </w:tcPr>
          <w:p>
            <w:pPr>
              <w:jc w:val="left"/>
            </w:pPr>
            <w:r/>
            <w:r>
              <w:rPr>
                <w:rFonts w:ascii="Calibri" w:hAnsi="Calibri"/>
                <w:b w:val="0"/>
                <w:color w:val="1E232D"/>
                <w:sz w:val="16"/>
              </w:rPr>
              <w:t>46%</w:t>
            </w:r>
          </w:p>
        </w:tc>
        <w:tc>
          <w:tcPr>
            <w:tcW w:type="dxa" w:w="2387"/>
            <w:vAlign w:val="center"/>
          </w:tcPr>
          <w:p>
            <w:pPr>
              <w:jc w:val="left"/>
            </w:pPr>
            <w:r/>
            <w:r>
              <w:rPr>
                <w:rFonts w:ascii="Calibri" w:hAnsi="Calibri"/>
                <w:b w:val="0"/>
                <w:color w:val="1E232D"/>
                <w:sz w:val="16"/>
              </w:rPr>
              <w:t>43%</w:t>
            </w:r>
          </w:p>
        </w:tc>
        <w:tc>
          <w:tcPr>
            <w:tcW w:type="dxa" w:w="2387"/>
            <w:vAlign w:val="center"/>
          </w:tcPr>
          <w:p>
            <w:pPr>
              <w:jc w:val="left"/>
            </w:pPr>
            <w:r/>
            <w:r>
              <w:rPr>
                <w:rFonts w:ascii="Calibri" w:hAnsi="Calibri"/>
                <w:b w:val="0"/>
                <w:color w:val="1E232D"/>
                <w:sz w:val="16"/>
              </w:rPr>
              <w:t>45%</w:t>
            </w:r>
          </w:p>
        </w:tc>
      </w:tr>
    </w:tbl>
    <w:p>
      <w:pPr>
        <w:pStyle w:val="Heading1"/>
      </w:pPr>
      <w:r>
        <w:t>4. Results</w:t>
      </w:r>
    </w:p>
    <w:p>
      <w:pPr>
        <w:spacing w:line="259" w:lineRule="auto" w:after="120"/>
      </w:pPr>
      <w:r>
        <w:t>The simulated results showed a moderate increase in cognitive flexibility scores for the AI-assisted group from pretest to posttest. The comparison group also improved, but the magnitude of change was smaller. A similar pattern was observed for self-regulated learning, particularly in the subscales related to planning, monitoring, and strategy adjustment.</w:t>
      </w:r>
    </w:p>
    <w:p>
      <w:pPr>
        <w:spacing w:line="259" w:lineRule="auto" w:after="120"/>
      </w:pPr>
      <w:r>
        <w:t>Final assessment scores were higher in the AI-assisted group, although the difference was not uniform across all students. Qualitative inspection of learning logs suggested that students who used the system for explanation, comparison, and error analysis showed stronger performance than those who used it primarily to generate summaries. This distinction is important for translation because the phrase “AI-assisted learning” should not be rendered as a generic synonym for automation; the pedagogical mechanism is the structured interaction between learner and tool.</w:t>
      </w:r>
    </w:p>
    <w:p>
      <w:pPr>
        <w:spacing w:line="259" w:lineRule="auto" w:after="120"/>
      </w:pPr>
      <w:r>
        <w:t>A hierarchical regression model was used in the simulated analysis. Baseline GPA, weekly quiz average, reflective prompt frequency, and total tool-use time were entered as predictors of final assessment performance. Reflective prompt frequency emerged as the strongest predictor after controlling for baseline academic performance.</w:t>
      </w:r>
    </w:p>
    <w:p>
      <w:pPr>
        <w:pStyle w:val="Heading2"/>
      </w:pPr>
      <w:r>
        <w:t>Table 2</w:t>
      </w:r>
    </w:p>
    <w:p>
      <w:r>
        <w:rPr>
          <w:rFonts w:ascii="Calibri" w:hAnsi="Calibri"/>
          <w:i/>
          <w:color w:val="69707D"/>
          <w:sz w:val="18"/>
        </w:rPr>
        <w:t>Simulated regression model predicting final applied assessment score</w:t>
      </w:r>
    </w:p>
    <w:tbl>
      <w:tblPr>
        <w:tblW w:type="auto" w:w="0"/>
        <w:jc w:val="center"/>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9"/>
        <w:gridCol w:w="1909"/>
        <w:gridCol w:w="1909"/>
        <w:gridCol w:w="1909"/>
        <w:gridCol w:w="1909"/>
      </w:tblGrid>
      <w:tr>
        <w:tc>
          <w:tcPr>
            <w:tcW w:type="dxa" w:w="1909"/>
            <w:shd w:fill="162541"/>
            <w:vAlign w:val="center"/>
          </w:tcPr>
          <w:p>
            <w:pPr>
              <w:jc w:val="left"/>
            </w:pPr>
            <w:r/>
            <w:r>
              <w:rPr>
                <w:rFonts w:ascii="Calibri" w:hAnsi="Calibri"/>
                <w:b/>
                <w:color w:val="FFFFFF"/>
                <w:sz w:val="16"/>
              </w:rPr>
              <w:t>Predictor</w:t>
            </w:r>
          </w:p>
        </w:tc>
        <w:tc>
          <w:tcPr>
            <w:tcW w:type="dxa" w:w="1909"/>
            <w:shd w:fill="162541"/>
            <w:vAlign w:val="center"/>
          </w:tcPr>
          <w:p>
            <w:pPr>
              <w:jc w:val="left"/>
            </w:pPr>
            <w:r/>
            <w:r>
              <w:rPr>
                <w:rFonts w:ascii="Calibri" w:hAnsi="Calibri"/>
                <w:b/>
                <w:color w:val="FFFFFF"/>
                <w:sz w:val="16"/>
              </w:rPr>
              <w:t>B</w:t>
            </w:r>
          </w:p>
        </w:tc>
        <w:tc>
          <w:tcPr>
            <w:tcW w:type="dxa" w:w="1909"/>
            <w:shd w:fill="162541"/>
            <w:vAlign w:val="center"/>
          </w:tcPr>
          <w:p>
            <w:pPr>
              <w:jc w:val="left"/>
            </w:pPr>
            <w:r/>
            <w:r>
              <w:rPr>
                <w:rFonts w:ascii="Calibri" w:hAnsi="Calibri"/>
                <w:b/>
                <w:color w:val="FFFFFF"/>
                <w:sz w:val="16"/>
              </w:rPr>
              <w:t>SE</w:t>
            </w:r>
          </w:p>
        </w:tc>
        <w:tc>
          <w:tcPr>
            <w:tcW w:type="dxa" w:w="1909"/>
            <w:shd w:fill="162541"/>
            <w:vAlign w:val="center"/>
          </w:tcPr>
          <w:p>
            <w:pPr>
              <w:jc w:val="left"/>
            </w:pPr>
            <w:r/>
            <w:r>
              <w:rPr>
                <w:rFonts w:ascii="Calibri" w:hAnsi="Calibri"/>
                <w:b/>
                <w:color w:val="FFFFFF"/>
                <w:sz w:val="16"/>
              </w:rPr>
              <w:t>beta</w:t>
            </w:r>
          </w:p>
        </w:tc>
        <w:tc>
          <w:tcPr>
            <w:tcW w:type="dxa" w:w="1909"/>
            <w:shd w:fill="162541"/>
            <w:vAlign w:val="center"/>
          </w:tcPr>
          <w:p>
            <w:pPr>
              <w:jc w:val="left"/>
            </w:pPr>
            <w:r/>
            <w:r>
              <w:rPr>
                <w:rFonts w:ascii="Calibri" w:hAnsi="Calibri"/>
                <w:b/>
                <w:color w:val="FFFFFF"/>
                <w:sz w:val="16"/>
              </w:rPr>
              <w:t>p</w:t>
            </w:r>
          </w:p>
        </w:tc>
      </w:tr>
      <w:tr>
        <w:tc>
          <w:tcPr>
            <w:tcW w:type="dxa" w:w="1909"/>
            <w:vAlign w:val="center"/>
          </w:tcPr>
          <w:p>
            <w:pPr>
              <w:jc w:val="left"/>
            </w:pPr>
            <w:r/>
            <w:r>
              <w:rPr>
                <w:rFonts w:ascii="Calibri" w:hAnsi="Calibri"/>
                <w:b w:val="0"/>
                <w:color w:val="1E232D"/>
                <w:sz w:val="16"/>
              </w:rPr>
              <w:t>Baseline GPA</w:t>
            </w:r>
          </w:p>
        </w:tc>
        <w:tc>
          <w:tcPr>
            <w:tcW w:type="dxa" w:w="1909"/>
            <w:vAlign w:val="center"/>
          </w:tcPr>
          <w:p>
            <w:pPr>
              <w:jc w:val="left"/>
            </w:pPr>
            <w:r/>
            <w:r>
              <w:rPr>
                <w:rFonts w:ascii="Calibri" w:hAnsi="Calibri"/>
                <w:b w:val="0"/>
                <w:color w:val="1E232D"/>
                <w:sz w:val="16"/>
              </w:rPr>
              <w:t>4.12</w:t>
            </w:r>
          </w:p>
        </w:tc>
        <w:tc>
          <w:tcPr>
            <w:tcW w:type="dxa" w:w="1909"/>
            <w:vAlign w:val="center"/>
          </w:tcPr>
          <w:p>
            <w:pPr>
              <w:jc w:val="left"/>
            </w:pPr>
            <w:r/>
            <w:r>
              <w:rPr>
                <w:rFonts w:ascii="Calibri" w:hAnsi="Calibri"/>
                <w:b w:val="0"/>
                <w:color w:val="1E232D"/>
                <w:sz w:val="16"/>
              </w:rPr>
              <w:t>0.88</w:t>
            </w:r>
          </w:p>
        </w:tc>
        <w:tc>
          <w:tcPr>
            <w:tcW w:type="dxa" w:w="1909"/>
            <w:vAlign w:val="center"/>
          </w:tcPr>
          <w:p>
            <w:pPr>
              <w:jc w:val="left"/>
            </w:pPr>
            <w:r/>
            <w:r>
              <w:rPr>
                <w:rFonts w:ascii="Calibri" w:hAnsi="Calibri"/>
                <w:b w:val="0"/>
                <w:color w:val="1E232D"/>
                <w:sz w:val="16"/>
              </w:rPr>
              <w:t>.29</w:t>
            </w:r>
          </w:p>
        </w:tc>
        <w:tc>
          <w:tcPr>
            <w:tcW w:type="dxa" w:w="1909"/>
            <w:vAlign w:val="center"/>
          </w:tcPr>
          <w:p>
            <w:pPr>
              <w:jc w:val="left"/>
            </w:pPr>
            <w:r/>
            <w:r>
              <w:rPr>
                <w:rFonts w:ascii="Calibri" w:hAnsi="Calibri"/>
                <w:b w:val="0"/>
                <w:color w:val="1E232D"/>
                <w:sz w:val="16"/>
              </w:rPr>
              <w:t>&lt; .001</w:t>
            </w:r>
          </w:p>
        </w:tc>
      </w:tr>
      <w:tr>
        <w:tc>
          <w:tcPr>
            <w:tcW w:type="dxa" w:w="1909"/>
            <w:vAlign w:val="center"/>
          </w:tcPr>
          <w:p>
            <w:pPr>
              <w:jc w:val="left"/>
            </w:pPr>
            <w:r/>
            <w:r>
              <w:rPr>
                <w:rFonts w:ascii="Calibri" w:hAnsi="Calibri"/>
                <w:b w:val="0"/>
                <w:color w:val="1E232D"/>
                <w:sz w:val="16"/>
              </w:rPr>
              <w:t>Weekly quiz average</w:t>
            </w:r>
          </w:p>
        </w:tc>
        <w:tc>
          <w:tcPr>
            <w:tcW w:type="dxa" w:w="1909"/>
            <w:vAlign w:val="center"/>
          </w:tcPr>
          <w:p>
            <w:pPr>
              <w:jc w:val="left"/>
            </w:pPr>
            <w:r/>
            <w:r>
              <w:rPr>
                <w:rFonts w:ascii="Calibri" w:hAnsi="Calibri"/>
                <w:b w:val="0"/>
                <w:color w:val="1E232D"/>
                <w:sz w:val="16"/>
              </w:rPr>
              <w:t>0.37</w:t>
            </w:r>
          </w:p>
        </w:tc>
        <w:tc>
          <w:tcPr>
            <w:tcW w:type="dxa" w:w="1909"/>
            <w:vAlign w:val="center"/>
          </w:tcPr>
          <w:p>
            <w:pPr>
              <w:jc w:val="left"/>
            </w:pPr>
            <w:r/>
            <w:r>
              <w:rPr>
                <w:rFonts w:ascii="Calibri" w:hAnsi="Calibri"/>
                <w:b w:val="0"/>
                <w:color w:val="1E232D"/>
                <w:sz w:val="16"/>
              </w:rPr>
              <w:t>0.09</w:t>
            </w:r>
          </w:p>
        </w:tc>
        <w:tc>
          <w:tcPr>
            <w:tcW w:type="dxa" w:w="1909"/>
            <w:vAlign w:val="center"/>
          </w:tcPr>
          <w:p>
            <w:pPr>
              <w:jc w:val="left"/>
            </w:pPr>
            <w:r/>
            <w:r>
              <w:rPr>
                <w:rFonts w:ascii="Calibri" w:hAnsi="Calibri"/>
                <w:b w:val="0"/>
                <w:color w:val="1E232D"/>
                <w:sz w:val="16"/>
              </w:rPr>
              <w:t>.24</w:t>
            </w:r>
          </w:p>
        </w:tc>
        <w:tc>
          <w:tcPr>
            <w:tcW w:type="dxa" w:w="1909"/>
            <w:vAlign w:val="center"/>
          </w:tcPr>
          <w:p>
            <w:pPr>
              <w:jc w:val="left"/>
            </w:pPr>
            <w:r/>
            <w:r>
              <w:rPr>
                <w:rFonts w:ascii="Calibri" w:hAnsi="Calibri"/>
                <w:b w:val="0"/>
                <w:color w:val="1E232D"/>
                <w:sz w:val="16"/>
              </w:rPr>
              <w:t>&lt; .001</w:t>
            </w:r>
          </w:p>
        </w:tc>
      </w:tr>
      <w:tr>
        <w:tc>
          <w:tcPr>
            <w:tcW w:type="dxa" w:w="1909"/>
            <w:vAlign w:val="center"/>
          </w:tcPr>
          <w:p>
            <w:pPr>
              <w:jc w:val="left"/>
            </w:pPr>
            <w:r/>
            <w:r>
              <w:rPr>
                <w:rFonts w:ascii="Calibri" w:hAnsi="Calibri"/>
                <w:b w:val="0"/>
                <w:color w:val="1E232D"/>
                <w:sz w:val="16"/>
              </w:rPr>
              <w:t>Reflective prompt frequency</w:t>
            </w:r>
          </w:p>
        </w:tc>
        <w:tc>
          <w:tcPr>
            <w:tcW w:type="dxa" w:w="1909"/>
            <w:vAlign w:val="center"/>
          </w:tcPr>
          <w:p>
            <w:pPr>
              <w:jc w:val="left"/>
            </w:pPr>
            <w:r/>
            <w:r>
              <w:rPr>
                <w:rFonts w:ascii="Calibri" w:hAnsi="Calibri"/>
                <w:b w:val="0"/>
                <w:color w:val="1E232D"/>
                <w:sz w:val="16"/>
              </w:rPr>
              <w:t>1.56</w:t>
            </w:r>
          </w:p>
        </w:tc>
        <w:tc>
          <w:tcPr>
            <w:tcW w:type="dxa" w:w="1909"/>
            <w:vAlign w:val="center"/>
          </w:tcPr>
          <w:p>
            <w:pPr>
              <w:jc w:val="left"/>
            </w:pPr>
            <w:r/>
            <w:r>
              <w:rPr>
                <w:rFonts w:ascii="Calibri" w:hAnsi="Calibri"/>
                <w:b w:val="0"/>
                <w:color w:val="1E232D"/>
                <w:sz w:val="16"/>
              </w:rPr>
              <w:t>0.31</w:t>
            </w:r>
          </w:p>
        </w:tc>
        <w:tc>
          <w:tcPr>
            <w:tcW w:type="dxa" w:w="1909"/>
            <w:vAlign w:val="center"/>
          </w:tcPr>
          <w:p>
            <w:pPr>
              <w:jc w:val="left"/>
            </w:pPr>
            <w:r/>
            <w:r>
              <w:rPr>
                <w:rFonts w:ascii="Calibri" w:hAnsi="Calibri"/>
                <w:b w:val="0"/>
                <w:color w:val="1E232D"/>
                <w:sz w:val="16"/>
              </w:rPr>
              <w:t>.33</w:t>
            </w:r>
          </w:p>
        </w:tc>
        <w:tc>
          <w:tcPr>
            <w:tcW w:type="dxa" w:w="1909"/>
            <w:vAlign w:val="center"/>
          </w:tcPr>
          <w:p>
            <w:pPr>
              <w:jc w:val="left"/>
            </w:pPr>
            <w:r/>
            <w:r>
              <w:rPr>
                <w:rFonts w:ascii="Calibri" w:hAnsi="Calibri"/>
                <w:b w:val="0"/>
                <w:color w:val="1E232D"/>
                <w:sz w:val="16"/>
              </w:rPr>
              <w:t>&lt; .001</w:t>
            </w:r>
          </w:p>
        </w:tc>
      </w:tr>
      <w:tr>
        <w:tc>
          <w:tcPr>
            <w:tcW w:type="dxa" w:w="1909"/>
            <w:vAlign w:val="center"/>
          </w:tcPr>
          <w:p>
            <w:pPr>
              <w:jc w:val="left"/>
            </w:pPr>
            <w:r/>
            <w:r>
              <w:rPr>
                <w:rFonts w:ascii="Calibri" w:hAnsi="Calibri"/>
                <w:b w:val="0"/>
                <w:color w:val="1E232D"/>
                <w:sz w:val="16"/>
              </w:rPr>
              <w:t>Total AI tool-use time</w:t>
            </w:r>
          </w:p>
        </w:tc>
        <w:tc>
          <w:tcPr>
            <w:tcW w:type="dxa" w:w="1909"/>
            <w:vAlign w:val="center"/>
          </w:tcPr>
          <w:p>
            <w:pPr>
              <w:jc w:val="left"/>
            </w:pPr>
            <w:r/>
            <w:r>
              <w:rPr>
                <w:rFonts w:ascii="Calibri" w:hAnsi="Calibri"/>
                <w:b w:val="0"/>
                <w:color w:val="1E232D"/>
                <w:sz w:val="16"/>
              </w:rPr>
              <w:t>0.04</w:t>
            </w:r>
          </w:p>
        </w:tc>
        <w:tc>
          <w:tcPr>
            <w:tcW w:type="dxa" w:w="1909"/>
            <w:vAlign w:val="center"/>
          </w:tcPr>
          <w:p>
            <w:pPr>
              <w:jc w:val="left"/>
            </w:pPr>
            <w:r/>
            <w:r>
              <w:rPr>
                <w:rFonts w:ascii="Calibri" w:hAnsi="Calibri"/>
                <w:b w:val="0"/>
                <w:color w:val="1E232D"/>
                <w:sz w:val="16"/>
              </w:rPr>
              <w:t>0.03</w:t>
            </w:r>
          </w:p>
        </w:tc>
        <w:tc>
          <w:tcPr>
            <w:tcW w:type="dxa" w:w="1909"/>
            <w:vAlign w:val="center"/>
          </w:tcPr>
          <w:p>
            <w:pPr>
              <w:jc w:val="left"/>
            </w:pPr>
            <w:r/>
            <w:r>
              <w:rPr>
                <w:rFonts w:ascii="Calibri" w:hAnsi="Calibri"/>
                <w:b w:val="0"/>
                <w:color w:val="1E232D"/>
                <w:sz w:val="16"/>
              </w:rPr>
              <w:t>.07</w:t>
            </w:r>
          </w:p>
        </w:tc>
        <w:tc>
          <w:tcPr>
            <w:tcW w:type="dxa" w:w="1909"/>
            <w:vAlign w:val="center"/>
          </w:tcPr>
          <w:p>
            <w:pPr>
              <w:jc w:val="left"/>
            </w:pPr>
            <w:r/>
            <w:r>
              <w:rPr>
                <w:rFonts w:ascii="Calibri" w:hAnsi="Calibri"/>
                <w:b w:val="0"/>
                <w:color w:val="1E232D"/>
                <w:sz w:val="16"/>
              </w:rPr>
              <w:t>.164</w:t>
            </w:r>
          </w:p>
        </w:tc>
      </w:tr>
      <w:tr>
        <w:tc>
          <w:tcPr>
            <w:tcW w:type="dxa" w:w="1909"/>
            <w:vAlign w:val="center"/>
          </w:tcPr>
          <w:p>
            <w:pPr>
              <w:jc w:val="left"/>
            </w:pPr>
            <w:r/>
            <w:r>
              <w:rPr>
                <w:rFonts w:ascii="Calibri" w:hAnsi="Calibri"/>
                <w:b w:val="0"/>
                <w:color w:val="1E232D"/>
                <w:sz w:val="16"/>
              </w:rPr>
              <w:t>Prior AI tool use</w:t>
            </w:r>
          </w:p>
        </w:tc>
        <w:tc>
          <w:tcPr>
            <w:tcW w:type="dxa" w:w="1909"/>
            <w:vAlign w:val="center"/>
          </w:tcPr>
          <w:p>
            <w:pPr>
              <w:jc w:val="left"/>
            </w:pPr>
            <w:r/>
            <w:r>
              <w:rPr>
                <w:rFonts w:ascii="Calibri" w:hAnsi="Calibri"/>
                <w:b w:val="0"/>
                <w:color w:val="1E232D"/>
                <w:sz w:val="16"/>
              </w:rPr>
              <w:t>0.82</w:t>
            </w:r>
          </w:p>
        </w:tc>
        <w:tc>
          <w:tcPr>
            <w:tcW w:type="dxa" w:w="1909"/>
            <w:vAlign w:val="center"/>
          </w:tcPr>
          <w:p>
            <w:pPr>
              <w:jc w:val="left"/>
            </w:pPr>
            <w:r/>
            <w:r>
              <w:rPr>
                <w:rFonts w:ascii="Calibri" w:hAnsi="Calibri"/>
                <w:b w:val="0"/>
                <w:color w:val="1E232D"/>
                <w:sz w:val="16"/>
              </w:rPr>
              <w:t>0.57</w:t>
            </w:r>
          </w:p>
        </w:tc>
        <w:tc>
          <w:tcPr>
            <w:tcW w:type="dxa" w:w="1909"/>
            <w:vAlign w:val="center"/>
          </w:tcPr>
          <w:p>
            <w:pPr>
              <w:jc w:val="left"/>
            </w:pPr>
            <w:r/>
            <w:r>
              <w:rPr>
                <w:rFonts w:ascii="Calibri" w:hAnsi="Calibri"/>
                <w:b w:val="0"/>
                <w:color w:val="1E232D"/>
                <w:sz w:val="16"/>
              </w:rPr>
              <w:t>.06</w:t>
            </w:r>
          </w:p>
        </w:tc>
        <w:tc>
          <w:tcPr>
            <w:tcW w:type="dxa" w:w="1909"/>
            <w:vAlign w:val="center"/>
          </w:tcPr>
          <w:p>
            <w:pPr>
              <w:jc w:val="left"/>
            </w:pPr>
            <w:r/>
            <w:r>
              <w:rPr>
                <w:rFonts w:ascii="Calibri" w:hAnsi="Calibri"/>
                <w:b w:val="0"/>
                <w:color w:val="1E232D"/>
                <w:sz w:val="16"/>
              </w:rPr>
              <w:t>.151</w:t>
            </w:r>
          </w:p>
        </w:tc>
      </w:tr>
    </w:tbl>
    <w:p>
      <w:pPr>
        <w:pStyle w:val="Heading1"/>
      </w:pPr>
      <w:r>
        <w:t>5. Discussion</w:t>
      </w:r>
    </w:p>
    <w:p>
      <w:pPr>
        <w:spacing w:line="259" w:lineRule="auto" w:after="120"/>
      </w:pPr>
      <w:r>
        <w:t>The simulated findings support a nuanced interpretation of AI-assisted learning. Access to an AI system was associated with higher cognitive flexibility and academic performance only when the tool was used as part of a structured learning process. The strongest gains appeared when learners engaged in reflective prompting, compared conflicting explanations, and analyzed errors. These activities require cognitive effort and may strengthen flexible reasoning by exposing students to alternative representations of the same concept.</w:t>
      </w:r>
    </w:p>
    <w:p>
      <w:pPr>
        <w:spacing w:line="259" w:lineRule="auto" w:after="120"/>
      </w:pPr>
      <w:r>
        <w:t>The results also illustrate a practical risk. Total time spent with an AI system was not a strong predictor of final performance. This suggests that institutions should avoid evaluating AI integration by usage metrics alone. A learner may spend many minutes with a tool and still engage in shallow processing. Conversely, brief but well-designed interactions can support meaningful learning when they require elaboration and self-correction.</w:t>
      </w:r>
    </w:p>
    <w:p>
      <w:pPr>
        <w:spacing w:line="259" w:lineRule="auto" w:after="120"/>
      </w:pPr>
      <w:r>
        <w:t>For translators, this section contains several important challenges. Terms such as “structured interaction,” “reflective prompting,” “productive struggle,” and “shallow processing” require conceptual translation rather than literal word substitution. The target text must remain natural in the academic register while preserving the methodological distinctions of the source.</w:t>
      </w:r>
    </w:p>
    <w:p>
      <w:pPr>
        <w:pStyle w:val="Heading1"/>
      </w:pPr>
      <w:r>
        <w:t>6. Limitations</w:t>
      </w:r>
    </w:p>
    <w:p>
      <w:pPr>
        <w:spacing w:line="259" w:lineRule="auto" w:after="120"/>
      </w:pPr>
      <w:r>
        <w:t>This article is a fictional demonstration document. The sample, measurements, data, and analyses are invented for portfolio purposes and should not be cited as empirical evidence. In a real study, additional controls would be necessary, including random assignment, validated instruments, preregistration, and independent replication. Future research would also need to consider disciplinary differences, instructor effects, and the possibility that AI-assisted tools benefit some learner profiles more than others.</w:t>
      </w:r>
    </w:p>
    <w:p>
      <w:pPr>
        <w:pStyle w:val="Heading1"/>
      </w:pPr>
      <w:r>
        <w:t>7. Conclusion</w:t>
      </w:r>
    </w:p>
    <w:p>
      <w:pPr>
        <w:spacing w:line="259" w:lineRule="auto" w:after="120"/>
      </w:pPr>
      <w:r>
        <w:t>AI-assisted learning has the potential to support cognitive flexibility and academic performance when it is embedded in reflective pedagogical routines. The simulated evidence presented here suggests that the value of AI in education lies less in answer generation and more in guided comparison, feedback interpretation, and self-regulated revision. For translation purposes, the document demonstrates the complexity of academic writing at the intersection of psychology, education, and technology.</w:t>
      </w:r>
    </w:p>
    <w:p>
      <w:pPr>
        <w:pStyle w:val="Heading1"/>
      </w:pPr>
      <w:r>
        <w:t>Acknowledgment</w:t>
      </w:r>
    </w:p>
    <w:p>
      <w:pPr>
        <w:spacing w:line="259" w:lineRule="auto" w:after="120"/>
      </w:pPr>
      <w:r>
        <w:t>This manuscript is an original fictional document created by Scriptorium for translation portfolio development. It is not associated with any real journal, university, research project, or participants.</w:t>
      </w:r>
    </w:p>
    <w:p>
      <w:pPr>
        <w:pStyle w:val="Heading1"/>
      </w:pPr>
      <w:r>
        <w:t>References</w:t>
      </w:r>
    </w:p>
    <w:p>
      <w:pPr>
        <w:spacing w:after="80" w:line="240" w:lineRule="auto"/>
        <w:ind w:left="432" w:hanging="432"/>
      </w:pPr>
      <w:r>
        <w:t>Bennett, L., &amp; Howard, S. (2024). Reflective prompting and metacognitive regulation in digital learning environments. Journal of Applied Learning Science, 12(3), 201-219. [Fictional reference for formatting demonstration].</w:t>
      </w:r>
    </w:p>
    <w:p>
      <w:pPr>
        <w:spacing w:after="80" w:line="240" w:lineRule="auto"/>
        <w:ind w:left="432" w:hanging="432"/>
      </w:pPr>
      <w:r>
        <w:t>Carter, E., Rossi, E., &amp; Thompson, M. (2025). Cognitive flexibility in AI-mediated coursework: A simulated research framework. Journal of Cognitive Learning Research, 18(2), 114-132. [Fictional reference].</w:t>
      </w:r>
    </w:p>
    <w:p>
      <w:pPr>
        <w:spacing w:after="80" w:line="240" w:lineRule="auto"/>
        <w:ind w:left="432" w:hanging="432"/>
      </w:pPr>
      <w:r>
        <w:t>Linden, P. (2023). Self-regulated learning and adaptive feedback in higher education. Educational Technology Review, 9(1), 44-63. [Fictional reference for formatting demonstration].</w:t>
      </w:r>
    </w:p>
    <w:p>
      <w:pPr>
        <w:spacing w:after="80" w:line="240" w:lineRule="auto"/>
        <w:ind w:left="432" w:hanging="432"/>
      </w:pPr>
      <w:r>
        <w:t>Mora, D., &amp; Klein, A. (2022). Academic performance, strategy monitoring, and instructional scaffolding. Learning and Cognition Quarterly, 7(4), 88-107. [Fictional reference].</w:t>
      </w:r>
    </w:p>
    <w:p>
      <w:pPr>
        <w:spacing w:after="80" w:line="240" w:lineRule="auto"/>
        <w:ind w:left="432" w:hanging="432"/>
      </w:pPr>
      <w:r>
        <w:t>Santos, R. (2025). Human judgment and automated support in university assessment. International Review of Digital Pedagogy, 15(1), 55-76. [Fictional reference].</w:t>
      </w:r>
    </w:p>
    <w:p>
      <w:r>
        <w:br w:type="page"/>
      </w:r>
    </w:p>
    <w:p>
      <w:pPr>
        <w:pStyle w:val="Heading1"/>
      </w:pPr>
      <w:r>
        <w:t>Appendix A. Terminology Notes for Translation</w:t>
      </w:r>
    </w:p>
    <w:p>
      <w:pPr>
        <w:spacing w:after="160"/>
      </w:pPr>
      <w:r>
        <w:t>The following terms were included intentionally to demonstrate specialized academic translation in psychology, education, methodology, and statistics.</w:t>
      </w:r>
    </w:p>
    <w:tbl>
      <w:tblPr>
        <w:tblW w:type="auto" w:w="0"/>
        <w:jc w:val="center"/>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3182"/>
        <w:gridCol w:w="3182"/>
        <w:gridCol w:w="3182"/>
      </w:tblGrid>
      <w:tr>
        <w:tc>
          <w:tcPr>
            <w:tcW w:type="dxa" w:w="3182"/>
            <w:shd w:fill="162541"/>
            <w:vAlign w:val="center"/>
          </w:tcPr>
          <w:p>
            <w:pPr>
              <w:jc w:val="left"/>
            </w:pPr>
            <w:r/>
            <w:r>
              <w:rPr>
                <w:rFonts w:ascii="Calibri" w:hAnsi="Calibri"/>
                <w:b/>
                <w:color w:val="FFFFFF"/>
                <w:sz w:val="16"/>
              </w:rPr>
              <w:t>Source term</w:t>
            </w:r>
          </w:p>
        </w:tc>
        <w:tc>
          <w:tcPr>
            <w:tcW w:type="dxa" w:w="3182"/>
            <w:shd w:fill="162541"/>
            <w:vAlign w:val="center"/>
          </w:tcPr>
          <w:p>
            <w:pPr>
              <w:jc w:val="left"/>
            </w:pPr>
            <w:r/>
            <w:r>
              <w:rPr>
                <w:rFonts w:ascii="Calibri" w:hAnsi="Calibri"/>
                <w:b/>
                <w:color w:val="FFFFFF"/>
                <w:sz w:val="16"/>
              </w:rPr>
              <w:t>Suggested Spanish rendering</w:t>
            </w:r>
          </w:p>
        </w:tc>
        <w:tc>
          <w:tcPr>
            <w:tcW w:type="dxa" w:w="3182"/>
            <w:shd w:fill="162541"/>
            <w:vAlign w:val="center"/>
          </w:tcPr>
          <w:p>
            <w:pPr>
              <w:jc w:val="left"/>
            </w:pPr>
            <w:r/>
            <w:r>
              <w:rPr>
                <w:rFonts w:ascii="Calibri" w:hAnsi="Calibri"/>
                <w:b/>
                <w:color w:val="FFFFFF"/>
                <w:sz w:val="16"/>
              </w:rPr>
              <w:t>Translation note</w:t>
            </w:r>
          </w:p>
        </w:tc>
      </w:tr>
      <w:tr>
        <w:tc>
          <w:tcPr>
            <w:tcW w:type="dxa" w:w="3182"/>
            <w:vAlign w:val="center"/>
          </w:tcPr>
          <w:p>
            <w:pPr>
              <w:jc w:val="left"/>
            </w:pPr>
            <w:r/>
            <w:r>
              <w:rPr>
                <w:rFonts w:ascii="Calibri" w:hAnsi="Calibri"/>
                <w:b w:val="0"/>
                <w:color w:val="1E232D"/>
                <w:sz w:val="16"/>
              </w:rPr>
              <w:t>Cognitive flexibility</w:t>
            </w:r>
          </w:p>
        </w:tc>
        <w:tc>
          <w:tcPr>
            <w:tcW w:type="dxa" w:w="3182"/>
            <w:vAlign w:val="center"/>
          </w:tcPr>
          <w:p>
            <w:pPr>
              <w:jc w:val="left"/>
            </w:pPr>
            <w:r/>
            <w:r>
              <w:rPr>
                <w:rFonts w:ascii="Calibri" w:hAnsi="Calibri"/>
                <w:b w:val="0"/>
                <w:color w:val="1E232D"/>
                <w:sz w:val="16"/>
              </w:rPr>
              <w:t>flexibilidad cognitiva</w:t>
            </w:r>
          </w:p>
        </w:tc>
        <w:tc>
          <w:tcPr>
            <w:tcW w:type="dxa" w:w="3182"/>
            <w:vAlign w:val="center"/>
          </w:tcPr>
          <w:p>
            <w:pPr>
              <w:jc w:val="left"/>
            </w:pPr>
            <w:r/>
            <w:r>
              <w:rPr>
                <w:rFonts w:ascii="Calibri" w:hAnsi="Calibri"/>
                <w:b w:val="0"/>
                <w:color w:val="1E232D"/>
                <w:sz w:val="16"/>
              </w:rPr>
              <w:t>Core construct; avoid literal rendering such as “flexibilidad del pensamiento” unless context requires it.</w:t>
            </w:r>
          </w:p>
        </w:tc>
      </w:tr>
      <w:tr>
        <w:tc>
          <w:tcPr>
            <w:tcW w:type="dxa" w:w="3182"/>
            <w:vAlign w:val="center"/>
          </w:tcPr>
          <w:p>
            <w:pPr>
              <w:jc w:val="left"/>
            </w:pPr>
            <w:r/>
            <w:r>
              <w:rPr>
                <w:rFonts w:ascii="Calibri" w:hAnsi="Calibri"/>
                <w:b w:val="0"/>
                <w:color w:val="1E232D"/>
                <w:sz w:val="16"/>
              </w:rPr>
              <w:t>Self-regulated learning</w:t>
            </w:r>
          </w:p>
        </w:tc>
        <w:tc>
          <w:tcPr>
            <w:tcW w:type="dxa" w:w="3182"/>
            <w:vAlign w:val="center"/>
          </w:tcPr>
          <w:p>
            <w:pPr>
              <w:jc w:val="left"/>
            </w:pPr>
            <w:r/>
            <w:r>
              <w:rPr>
                <w:rFonts w:ascii="Calibri" w:hAnsi="Calibri"/>
                <w:b w:val="0"/>
                <w:color w:val="1E232D"/>
                <w:sz w:val="16"/>
              </w:rPr>
              <w:t>aprendizaje autorregulado</w:t>
            </w:r>
          </w:p>
        </w:tc>
        <w:tc>
          <w:tcPr>
            <w:tcW w:type="dxa" w:w="3182"/>
            <w:vAlign w:val="center"/>
          </w:tcPr>
          <w:p>
            <w:pPr>
              <w:jc w:val="left"/>
            </w:pPr>
            <w:r/>
            <w:r>
              <w:rPr>
                <w:rFonts w:ascii="Calibri" w:hAnsi="Calibri"/>
                <w:b w:val="0"/>
                <w:color w:val="1E232D"/>
                <w:sz w:val="16"/>
              </w:rPr>
              <w:t>Established term in educational psychology.</w:t>
            </w:r>
          </w:p>
        </w:tc>
      </w:tr>
      <w:tr>
        <w:tc>
          <w:tcPr>
            <w:tcW w:type="dxa" w:w="3182"/>
            <w:vAlign w:val="center"/>
          </w:tcPr>
          <w:p>
            <w:pPr>
              <w:jc w:val="left"/>
            </w:pPr>
            <w:r/>
            <w:r>
              <w:rPr>
                <w:rFonts w:ascii="Calibri" w:hAnsi="Calibri"/>
                <w:b w:val="0"/>
                <w:color w:val="1E232D"/>
                <w:sz w:val="16"/>
              </w:rPr>
              <w:t>Reflective prompting</w:t>
            </w:r>
          </w:p>
        </w:tc>
        <w:tc>
          <w:tcPr>
            <w:tcW w:type="dxa" w:w="3182"/>
            <w:vAlign w:val="center"/>
          </w:tcPr>
          <w:p>
            <w:pPr>
              <w:jc w:val="left"/>
            </w:pPr>
            <w:r/>
            <w:r>
              <w:rPr>
                <w:rFonts w:ascii="Calibri" w:hAnsi="Calibri"/>
                <w:b w:val="0"/>
                <w:color w:val="1E232D"/>
                <w:sz w:val="16"/>
              </w:rPr>
              <w:t>indicaciones reflexivas / prompts reflexivos</w:t>
            </w:r>
          </w:p>
        </w:tc>
        <w:tc>
          <w:tcPr>
            <w:tcW w:type="dxa" w:w="3182"/>
            <w:vAlign w:val="center"/>
          </w:tcPr>
          <w:p>
            <w:pPr>
              <w:jc w:val="left"/>
            </w:pPr>
            <w:r/>
            <w:r>
              <w:rPr>
                <w:rFonts w:ascii="Calibri" w:hAnsi="Calibri"/>
                <w:b w:val="0"/>
                <w:color w:val="1E232D"/>
                <w:sz w:val="16"/>
              </w:rPr>
              <w:t>May vary depending on whether “prompt” is left as an Anglicism in tech context.</w:t>
            </w:r>
          </w:p>
        </w:tc>
      </w:tr>
      <w:tr>
        <w:tc>
          <w:tcPr>
            <w:tcW w:type="dxa" w:w="3182"/>
            <w:vAlign w:val="center"/>
          </w:tcPr>
          <w:p>
            <w:pPr>
              <w:jc w:val="left"/>
            </w:pPr>
            <w:r/>
            <w:r>
              <w:rPr>
                <w:rFonts w:ascii="Calibri" w:hAnsi="Calibri"/>
                <w:b w:val="0"/>
                <w:color w:val="1E232D"/>
                <w:sz w:val="16"/>
              </w:rPr>
              <w:t>Productive struggle</w:t>
            </w:r>
          </w:p>
        </w:tc>
        <w:tc>
          <w:tcPr>
            <w:tcW w:type="dxa" w:w="3182"/>
            <w:vAlign w:val="center"/>
          </w:tcPr>
          <w:p>
            <w:pPr>
              <w:jc w:val="left"/>
            </w:pPr>
            <w:r/>
            <w:r>
              <w:rPr>
                <w:rFonts w:ascii="Calibri" w:hAnsi="Calibri"/>
                <w:b w:val="0"/>
                <w:color w:val="1E232D"/>
                <w:sz w:val="16"/>
              </w:rPr>
              <w:t>esfuerzo productivo</w:t>
            </w:r>
          </w:p>
        </w:tc>
        <w:tc>
          <w:tcPr>
            <w:tcW w:type="dxa" w:w="3182"/>
            <w:vAlign w:val="center"/>
          </w:tcPr>
          <w:p>
            <w:pPr>
              <w:jc w:val="left"/>
            </w:pPr>
            <w:r/>
            <w:r>
              <w:rPr>
                <w:rFonts w:ascii="Calibri" w:hAnsi="Calibri"/>
                <w:b w:val="0"/>
                <w:color w:val="1E232D"/>
                <w:sz w:val="16"/>
              </w:rPr>
              <w:t>Pedagogical concept; do not translate as “lucha” in formal academic Spanish.</w:t>
            </w:r>
          </w:p>
        </w:tc>
      </w:tr>
      <w:tr>
        <w:tc>
          <w:tcPr>
            <w:tcW w:type="dxa" w:w="3182"/>
            <w:vAlign w:val="center"/>
          </w:tcPr>
          <w:p>
            <w:pPr>
              <w:jc w:val="left"/>
            </w:pPr>
            <w:r/>
            <w:r>
              <w:rPr>
                <w:rFonts w:ascii="Calibri" w:hAnsi="Calibri"/>
                <w:b w:val="0"/>
                <w:color w:val="1E232D"/>
                <w:sz w:val="16"/>
              </w:rPr>
              <w:t>Shallow processing</w:t>
            </w:r>
          </w:p>
        </w:tc>
        <w:tc>
          <w:tcPr>
            <w:tcW w:type="dxa" w:w="3182"/>
            <w:vAlign w:val="center"/>
          </w:tcPr>
          <w:p>
            <w:pPr>
              <w:jc w:val="left"/>
            </w:pPr>
            <w:r/>
            <w:r>
              <w:rPr>
                <w:rFonts w:ascii="Calibri" w:hAnsi="Calibri"/>
                <w:b w:val="0"/>
                <w:color w:val="1E232D"/>
                <w:sz w:val="16"/>
              </w:rPr>
              <w:t>procesamiento superficial</w:t>
            </w:r>
          </w:p>
        </w:tc>
        <w:tc>
          <w:tcPr>
            <w:tcW w:type="dxa" w:w="3182"/>
            <w:vAlign w:val="center"/>
          </w:tcPr>
          <w:p>
            <w:pPr>
              <w:jc w:val="left"/>
            </w:pPr>
            <w:r/>
            <w:r>
              <w:rPr>
                <w:rFonts w:ascii="Calibri" w:hAnsi="Calibri"/>
                <w:b w:val="0"/>
                <w:color w:val="1E232D"/>
                <w:sz w:val="16"/>
              </w:rPr>
              <w:t>Cognitive psychology term.</w:t>
            </w:r>
          </w:p>
        </w:tc>
      </w:tr>
      <w:tr>
        <w:tc>
          <w:tcPr>
            <w:tcW w:type="dxa" w:w="3182"/>
            <w:vAlign w:val="center"/>
          </w:tcPr>
          <w:p>
            <w:pPr>
              <w:jc w:val="left"/>
            </w:pPr>
            <w:r/>
            <w:r>
              <w:rPr>
                <w:rFonts w:ascii="Calibri" w:hAnsi="Calibri"/>
                <w:b w:val="0"/>
                <w:color w:val="1E232D"/>
                <w:sz w:val="16"/>
              </w:rPr>
              <w:t>Scaffolding</w:t>
            </w:r>
          </w:p>
        </w:tc>
        <w:tc>
          <w:tcPr>
            <w:tcW w:type="dxa" w:w="3182"/>
            <w:vAlign w:val="center"/>
          </w:tcPr>
          <w:p>
            <w:pPr>
              <w:jc w:val="left"/>
            </w:pPr>
            <w:r/>
            <w:r>
              <w:rPr>
                <w:rFonts w:ascii="Calibri" w:hAnsi="Calibri"/>
                <w:b w:val="0"/>
                <w:color w:val="1E232D"/>
                <w:sz w:val="16"/>
              </w:rPr>
              <w:t>andamiaje</w:t>
            </w:r>
          </w:p>
        </w:tc>
        <w:tc>
          <w:tcPr>
            <w:tcW w:type="dxa" w:w="3182"/>
            <w:vAlign w:val="center"/>
          </w:tcPr>
          <w:p>
            <w:pPr>
              <w:jc w:val="left"/>
            </w:pPr>
            <w:r/>
            <w:r>
              <w:rPr>
                <w:rFonts w:ascii="Calibri" w:hAnsi="Calibri"/>
                <w:b w:val="0"/>
                <w:color w:val="1E232D"/>
                <w:sz w:val="16"/>
              </w:rPr>
              <w:t>Established term in education and developmental psychology.</w:t>
            </w:r>
          </w:p>
        </w:tc>
      </w:tr>
      <w:tr>
        <w:tc>
          <w:tcPr>
            <w:tcW w:type="dxa" w:w="3182"/>
            <w:vAlign w:val="center"/>
          </w:tcPr>
          <w:p>
            <w:pPr>
              <w:jc w:val="left"/>
            </w:pPr>
            <w:r/>
            <w:r>
              <w:rPr>
                <w:rFonts w:ascii="Calibri" w:hAnsi="Calibri"/>
                <w:b w:val="0"/>
                <w:color w:val="1E232D"/>
                <w:sz w:val="16"/>
              </w:rPr>
              <w:t>Hierarchical regression</w:t>
            </w:r>
          </w:p>
        </w:tc>
        <w:tc>
          <w:tcPr>
            <w:tcW w:type="dxa" w:w="3182"/>
            <w:vAlign w:val="center"/>
          </w:tcPr>
          <w:p>
            <w:pPr>
              <w:jc w:val="left"/>
            </w:pPr>
            <w:r/>
            <w:r>
              <w:rPr>
                <w:rFonts w:ascii="Calibri" w:hAnsi="Calibri"/>
                <w:b w:val="0"/>
                <w:color w:val="1E232D"/>
                <w:sz w:val="16"/>
              </w:rPr>
              <w:t>regresión jerárquica</w:t>
            </w:r>
          </w:p>
        </w:tc>
        <w:tc>
          <w:tcPr>
            <w:tcW w:type="dxa" w:w="3182"/>
            <w:vAlign w:val="center"/>
          </w:tcPr>
          <w:p>
            <w:pPr>
              <w:jc w:val="left"/>
            </w:pPr>
            <w:r/>
            <w:r>
              <w:rPr>
                <w:rFonts w:ascii="Calibri" w:hAnsi="Calibri"/>
                <w:b w:val="0"/>
                <w:color w:val="1E232D"/>
                <w:sz w:val="16"/>
              </w:rPr>
              <w:t>Statistical term.</w:t>
            </w:r>
          </w:p>
        </w:tc>
      </w:tr>
      <w:tr>
        <w:tc>
          <w:tcPr>
            <w:tcW w:type="dxa" w:w="3182"/>
            <w:vAlign w:val="center"/>
          </w:tcPr>
          <w:p>
            <w:pPr>
              <w:jc w:val="left"/>
            </w:pPr>
            <w:r/>
            <w:r>
              <w:rPr>
                <w:rFonts w:ascii="Calibri" w:hAnsi="Calibri"/>
                <w:b w:val="0"/>
                <w:color w:val="1E232D"/>
                <w:sz w:val="16"/>
              </w:rPr>
              <w:t>Final applied assessment</w:t>
            </w:r>
          </w:p>
        </w:tc>
        <w:tc>
          <w:tcPr>
            <w:tcW w:type="dxa" w:w="3182"/>
            <w:vAlign w:val="center"/>
          </w:tcPr>
          <w:p>
            <w:pPr>
              <w:jc w:val="left"/>
            </w:pPr>
            <w:r/>
            <w:r>
              <w:rPr>
                <w:rFonts w:ascii="Calibri" w:hAnsi="Calibri"/>
                <w:b w:val="0"/>
                <w:color w:val="1E232D"/>
                <w:sz w:val="16"/>
              </w:rPr>
              <w:t>evaluación aplicada final</w:t>
            </w:r>
          </w:p>
        </w:tc>
        <w:tc>
          <w:tcPr>
            <w:tcW w:type="dxa" w:w="3182"/>
            <w:vAlign w:val="center"/>
          </w:tcPr>
          <w:p>
            <w:pPr>
              <w:jc w:val="left"/>
            </w:pPr>
            <w:r/>
            <w:r>
              <w:rPr>
                <w:rFonts w:ascii="Calibri" w:hAnsi="Calibri"/>
                <w:b w:val="0"/>
                <w:color w:val="1E232D"/>
                <w:sz w:val="16"/>
              </w:rPr>
              <w:t>Academic assessment language.</w:t>
            </w:r>
          </w:p>
        </w:tc>
      </w:tr>
    </w:tbl>
    <w:p>
      <w:pPr>
        <w:pStyle w:val="Heading1"/>
      </w:pPr>
      <w:r>
        <w:t>Appendix B. Quality Review Checklist</w:t>
      </w:r>
    </w:p>
    <w:p>
      <w:pPr/>
      <w:r>
        <w:rPr>
          <w:rFonts w:ascii="Calibri" w:hAnsi="Calibri"/>
          <w:b/>
          <w:color w:val="DCAE41"/>
          <w:sz w:val="21"/>
        </w:rPr>
        <w:t xml:space="preserve">✓ </w:t>
      </w:r>
      <w:r>
        <w:rPr>
          <w:rFonts w:ascii="Calibri" w:hAnsi="Calibri"/>
          <w:color w:val="1E232D"/>
          <w:sz w:val="21"/>
        </w:rPr>
        <w:t>Academic register preserved</w:t>
      </w:r>
    </w:p>
    <w:p>
      <w:pPr/>
      <w:r>
        <w:rPr>
          <w:rFonts w:ascii="Calibri" w:hAnsi="Calibri"/>
          <w:b/>
          <w:color w:val="DCAE41"/>
          <w:sz w:val="21"/>
        </w:rPr>
        <w:t xml:space="preserve">✓ </w:t>
      </w:r>
      <w:r>
        <w:rPr>
          <w:rFonts w:ascii="Calibri" w:hAnsi="Calibri"/>
          <w:color w:val="1E232D"/>
          <w:sz w:val="21"/>
        </w:rPr>
        <w:t>Psychology and education terminology identified</w:t>
      </w:r>
    </w:p>
    <w:p>
      <w:pPr/>
      <w:r>
        <w:rPr>
          <w:rFonts w:ascii="Calibri" w:hAnsi="Calibri"/>
          <w:b/>
          <w:color w:val="DCAE41"/>
          <w:sz w:val="21"/>
        </w:rPr>
        <w:t xml:space="preserve">✓ </w:t>
      </w:r>
      <w:r>
        <w:rPr>
          <w:rFonts w:ascii="Calibri" w:hAnsi="Calibri"/>
          <w:color w:val="1E232D"/>
          <w:sz w:val="21"/>
        </w:rPr>
        <w:t>Tables preserved for later bilingual formatting</w:t>
      </w:r>
    </w:p>
    <w:p>
      <w:pPr/>
      <w:r>
        <w:rPr>
          <w:rFonts w:ascii="Calibri" w:hAnsi="Calibri"/>
          <w:b/>
          <w:color w:val="DCAE41"/>
          <w:sz w:val="21"/>
        </w:rPr>
        <w:t xml:space="preserve">✓ </w:t>
      </w:r>
      <w:r>
        <w:rPr>
          <w:rFonts w:ascii="Calibri" w:hAnsi="Calibri"/>
          <w:color w:val="1E232D"/>
          <w:sz w:val="21"/>
        </w:rPr>
        <w:t>APA-style reference formatting simulated</w:t>
      </w:r>
    </w:p>
    <w:p>
      <w:pPr/>
      <w:r>
        <w:rPr>
          <w:rFonts w:ascii="Calibri" w:hAnsi="Calibri"/>
          <w:b/>
          <w:color w:val="DCAE41"/>
          <w:sz w:val="21"/>
        </w:rPr>
        <w:t xml:space="preserve">✓ </w:t>
      </w:r>
      <w:r>
        <w:rPr>
          <w:rFonts w:ascii="Calibri" w:hAnsi="Calibri"/>
          <w:color w:val="1E232D"/>
          <w:sz w:val="21"/>
        </w:rPr>
        <w:t>Fictional status clearly disclosed</w:t>
      </w:r>
    </w:p>
    <w:p>
      <w:pPr/>
      <w:r>
        <w:rPr>
          <w:rFonts w:ascii="Calibri" w:hAnsi="Calibri"/>
          <w:b/>
          <w:color w:val="DCAE41"/>
          <w:sz w:val="21"/>
        </w:rPr>
        <w:t xml:space="preserve">✓ </w:t>
      </w:r>
      <w:r>
        <w:rPr>
          <w:rFonts w:ascii="Calibri" w:hAnsi="Calibri"/>
          <w:color w:val="1E232D"/>
          <w:sz w:val="21"/>
        </w:rPr>
        <w:t>Suitable for translation into Spanish, German, French, and Portuguese</w:t>
      </w:r>
    </w:p>
    <w:p>
      <w:pPr>
        <w:sectPr>
          <w:headerReference w:type="default" r:id="rId9"/>
          <w:footerReference w:type="default" r:id="rId10"/>
          <w:pgSz w:w="11909" w:h="16834"/>
          <w:pgMar w:top="1080" w:right="1181" w:bottom="936" w:left="1181" w:header="720" w:footer="720" w:gutter="0"/>
          <w:cols w:space="720"/>
          <w:docGrid w:linePitch="360"/>
        </w:sectPr>
      </w:pPr>
    </w:p>
    <w:p>
      <w:pPr>
        <w:jc w:val="center"/>
      </w:pPr>
      <w:r>
        <w:rPr>
          <w:rFonts w:ascii="Liberation Serif" w:hAnsi="Liberation Serif"/>
          <w:b/>
          <w:color w:val="D1AA49"/>
          <w:sz w:val="60"/>
        </w:rPr>
        <w:t>SCRIPTORIUM</w:t>
      </w:r>
    </w:p>
    <w:p>
      <w:pPr>
        <w:jc w:val="center"/>
      </w:pPr>
      <w:r>
        <w:rPr>
          <w:rFonts w:ascii="Liberation Sans" w:hAnsi="Liberation Sans"/>
          <w:b/>
          <w:color w:val="14223E"/>
          <w:sz w:val="26"/>
        </w:rPr>
        <w:t>MULTILINGUAL TRANSLATION ADDENDUM</w:t>
      </w:r>
    </w:p>
    <w:p>
      <w:pPr>
        <w:jc w:val="center"/>
      </w:pPr>
      <w:r>
        <w:rPr>
          <w:rFonts w:ascii="Liberation Sans" w:hAnsi="Liberation Sans"/>
          <w:color w:val="505050"/>
          <w:sz w:val="21"/>
        </w:rPr>
        <w:t>Academic Research Article | English Source + Seven Target-Language Versions</w:t>
      </w:r>
    </w:p>
    <w:tbl>
      <w:tblPr>
        <w:tblStyle w:val="TableGrid"/>
        <w:tblW w:type="auto" w:w="0"/>
        <w:jc w:val="center"/>
        <w:tblLook w:firstColumn="1" w:firstRow="1" w:lastColumn="0" w:lastRow="0" w:noHBand="0" w:noVBand="1" w:val="04A0"/>
      </w:tblPr>
      <w:tblGrid>
        <w:gridCol w:w="4946"/>
        <w:gridCol w:w="4946"/>
      </w:tblGrid>
      <w:tr>
        <w:tc>
          <w:tcPr>
            <w:tcW w:type="dxa" w:w="4946"/>
            <w:shd w:fill="14223E"/>
          </w:tcPr>
          <w:p>
            <w:r>
              <w:rPr>
                <w:b/>
                <w:color w:val="FFFFFF"/>
              </w:rPr>
              <w:t>Field</w:t>
            </w:r>
          </w:p>
        </w:tc>
        <w:tc>
          <w:tcPr>
            <w:tcW w:type="dxa" w:w="4946"/>
            <w:shd w:fill="14223E"/>
          </w:tcPr>
          <w:p>
            <w:r>
              <w:rPr>
                <w:b/>
                <w:color w:val="FFFFFF"/>
              </w:rPr>
              <w:t>Details</w:t>
            </w:r>
          </w:p>
        </w:tc>
      </w:tr>
      <w:tr>
        <w:tc>
          <w:tcPr>
            <w:tcW w:type="dxa" w:w="4946"/>
            <w:shd w:fill="F3F0E8"/>
          </w:tcPr>
          <w:p>
            <w:r>
              <w:t>Source document</w:t>
            </w:r>
          </w:p>
        </w:tc>
        <w:tc>
          <w:tcPr>
            <w:tcW w:type="dxa" w:w="4946"/>
          </w:tcPr>
          <w:p>
            <w:r>
              <w:t>The Influence of Artificial Intelligence-Assisted Learning on Cognitive Flexibility and Academic Performance Among University Students</w:t>
            </w:r>
          </w:p>
        </w:tc>
      </w:tr>
      <w:tr>
        <w:tc>
          <w:tcPr>
            <w:tcW w:type="dxa" w:w="4946"/>
            <w:shd w:fill="F3F0E8"/>
          </w:tcPr>
          <w:p>
            <w:r>
              <w:t>Source language</w:t>
            </w:r>
          </w:p>
        </w:tc>
        <w:tc>
          <w:tcPr>
            <w:tcW w:type="dxa" w:w="4946"/>
          </w:tcPr>
          <w:p>
            <w:r>
              <w:t>English</w:t>
            </w:r>
          </w:p>
        </w:tc>
      </w:tr>
      <w:tr>
        <w:tc>
          <w:tcPr>
            <w:tcW w:type="dxa" w:w="4946"/>
            <w:shd w:fill="F3F0E8"/>
          </w:tcPr>
          <w:p>
            <w:r>
              <w:t>Target languages</w:t>
            </w:r>
          </w:p>
        </w:tc>
        <w:tc>
          <w:tcPr>
            <w:tcW w:type="dxa" w:w="4946"/>
          </w:tcPr>
          <w:p>
            <w:r>
              <w:t>Spanish, German, French, Portuguese, Italian, Russian, Czech</w:t>
            </w:r>
          </w:p>
        </w:tc>
      </w:tr>
      <w:tr>
        <w:tc>
          <w:tcPr>
            <w:tcW w:type="dxa" w:w="4946"/>
            <w:shd w:fill="F3F0E8"/>
          </w:tcPr>
          <w:p>
            <w:r>
              <w:t>Purpose</w:t>
            </w:r>
          </w:p>
        </w:tc>
        <w:tc>
          <w:tcPr>
            <w:tcW w:type="dxa" w:w="4946"/>
          </w:tcPr>
          <w:p>
            <w:r>
              <w:t>Portfolio demonstration for academic translation, terminology handling, formatting, and multilingual presentation.</w:t>
            </w:r>
          </w:p>
        </w:tc>
      </w:tr>
      <w:tr>
        <w:tc>
          <w:tcPr>
            <w:tcW w:type="dxa" w:w="4946"/>
            <w:shd w:fill="F3F0E8"/>
          </w:tcPr>
          <w:p>
            <w:r>
              <w:t>Ethical note</w:t>
            </w:r>
          </w:p>
        </w:tc>
        <w:tc>
          <w:tcPr>
            <w:tcW w:type="dxa" w:w="4946"/>
          </w:tcPr>
          <w:p>
            <w:r>
              <w:t>Fictional sample document. No real authors, participants, journal, data, or institutional affiliation.</w:t>
            </w:r>
          </w:p>
        </w:tc>
      </w:tr>
    </w:tbl>
    <w:p>
      <w:pPr>
        <w:pStyle w:val="ScriptoriumNote"/>
      </w:pPr>
      <w:r>
        <w:rPr>
          <w:b/>
        </w:rPr>
        <w:t xml:space="preserve">Editorial note: </w:t>
      </w:r>
      <w:r>
        <w:t>The following translations are demonstration versions created for Scriptorium portfolio use. They are intended to show academic register, terminology management, and document formatting across multiple languages.</w:t>
      </w:r>
    </w:p>
    <w:p>
      <w:r>
        <w:br w:type="page"/>
      </w:r>
    </w:p>
    <w:p>
      <w:pPr>
        <w:jc w:val="left"/>
      </w:pPr>
      <w:r>
        <w:rPr>
          <w:rFonts w:ascii="Liberation Sans" w:hAnsi="Liberation Sans"/>
          <w:b/>
          <w:color w:val="D1AA49"/>
          <w:sz w:val="36"/>
        </w:rPr>
        <w:t>ESPAÑOL TRANSLATION</w:t>
      </w:r>
    </w:p>
    <w:p>
      <w:pPr>
        <w:pStyle w:val="ScriptoriumNote"/>
      </w:pPr>
      <w:r>
        <w:t>Language direction: English → Spanish | Sample type: Academic research article translation | Field: educational psychology and cognitive science</w:t>
      </w:r>
    </w:p>
    <w:p>
      <w:pPr>
        <w:pStyle w:val="Heading1"/>
      </w:pPr>
      <w:r>
        <w:t>La influencia del aprendizaje asistido por inteligencia artificial en la flexibilidad cognitiva y el rendimiento académico de estudiantes universitarios</w:t>
      </w:r>
    </w:p>
    <w:p>
      <w:pPr>
        <w:pStyle w:val="Heading2"/>
      </w:pPr>
      <w:r>
        <w:t>Abstract</w:t>
      </w:r>
    </w:p>
    <w:p>
      <w:pPr>
        <w:pStyle w:val="ScriptoriumBody"/>
      </w:pPr>
      <w:r>
        <w:t>Los sistemas de aprendizaje asistidos por inteligencia artificial se utilizan cada vez más en la educación superior; sin embargo, sus efectos cognitivos aún no se comprenden por completo. Este estudio ficticio de demostración examina si la interacción estructurada con una interfaz de tutoría basada en IA se asocia con cambios en la flexibilidad cognitiva, el aprendizaje autorregulado y el rendimiento académico de estudiantes universitarios. Se diseñó una simulación cuasiexperimental con 186 participantes distribuidos en dos condiciones instruccionales. Los resultados simulados sugieren que la interacción reflexiva con herramientas de IA puede favorecer la flexibilidad cognitiva cuando se integra en rutinas pedagógicas explícitas, pero no cuando se emplea únicamente como un mecanismo de respuesta rápida. El documento fue creado como muestra original para demostrar traducción académica, control terminológico y conservación del formato.</w:t>
      </w:r>
    </w:p>
    <w:p>
      <w:pPr>
        <w:pStyle w:val="Heading2"/>
      </w:pPr>
      <w:r>
        <w:t>Keywords / Palabras clave / Schlüsselwörter</w:t>
      </w:r>
    </w:p>
    <w:p>
      <w:pPr>
        <w:pStyle w:val="ScriptoriumBody"/>
      </w:pPr>
      <w:r>
        <w:t>inteligencia artificial; flexibilidad cognitiva; aprendizaje autorregulado; rendimiento académico; educación superior; psicología educativa</w:t>
      </w:r>
    </w:p>
    <w:p>
      <w:pPr>
        <w:pStyle w:val="Heading2"/>
      </w:pPr>
      <w:r>
        <w:t>1. Introducción</w:t>
      </w:r>
    </w:p>
    <w:p>
      <w:pPr>
        <w:pStyle w:val="ScriptoriumBody"/>
      </w:pPr>
      <w:r>
        <w:t>La integración de la inteligencia artificial en los entornos universitarios ha dejado de ser una novedad experimental y se ha convertido en una práctica académica cotidiana. Los estudiantes utilizan sistemas conversacionales, plataformas adaptativas y herramientas generativas para explorar conceptos, resumir lecturas, recibir retroalimentación y preparar evaluaciones. Aunque estas prácticas amplían el acceso al apoyo académico, también plantean preguntas sobre el aprendizaje profundo, la dependencia tecnológica y la calidad de los procesos cognitivos que sostienen el rendimiento.</w:t>
      </w:r>
    </w:p>
    <w:p>
      <w:pPr>
        <w:pStyle w:val="Heading2"/>
      </w:pPr>
      <w:r>
        <w:t>2. Marco teórico</w:t>
      </w:r>
    </w:p>
    <w:p>
      <w:pPr>
        <w:pStyle w:val="ScriptoriumBody"/>
      </w:pPr>
      <w:r>
        <w:t>La investigación sobre aprendizaje autorregulado sostiene que los estudiantes aprenden con mayor eficacia cuando monitorean su comprensión, establecen metas, seleccionan estrategias y ajustan su conducta después de recibir retroalimentación. Desde una perspectiva cognitiva, la calidad de la interacción es más importante que la exposición por sí sola. Las indicaciones reflexivas, como comparar explicaciones o identificar supuestos débiles, pueden activar procesos metacognitivos y evitar el procesamiento superficial.</w:t>
      </w:r>
    </w:p>
    <w:p>
      <w:pPr>
        <w:pStyle w:val="Heading2"/>
      </w:pPr>
      <w:r>
        <w:t>3. Método</w:t>
      </w:r>
    </w:p>
    <w:p>
      <w:pPr>
        <w:pStyle w:val="ScriptoriumBody"/>
      </w:pPr>
      <w:r>
        <w:t>Se diseñó una simulación cuasiexperimental para modelar dos condiciones instruccionales. El grupo con aprendizaje asistido por IA utilizó una interfaz de tutoría estructurada integrada en un módulo de metodología de investigación de seis semanas. El grupo de comparación recibió los mismos materiales, cuestionarios y tareas, pero sin acceso al tutor de IA. La muestra simulada estuvo compuesta por 186 estudiantes universitarios de entre 18 y 27 años. Las medidas incluyeron un inventario de flexibilidad cognitiva, un índice de aprendizaje autorregulado, cuestionarios semanales y una evaluación aplicada final.</w:t>
      </w:r>
    </w:p>
    <w:p>
      <w:pPr>
        <w:pStyle w:val="Heading2"/>
      </w:pPr>
      <w:r>
        <w:t>4. Resultados</w:t>
      </w:r>
    </w:p>
    <w:p>
      <w:pPr>
        <w:pStyle w:val="ScriptoriumBody"/>
      </w:pPr>
      <w:r>
        <w:t>Los resultados simulados mostraron un incremento moderado en las puntuaciones de flexibilidad cognitiva del grupo asistido por IA entre el pretest y el postest. El grupo de comparación también mejoró, aunque con una magnitud menor. Las puntuaciones de la evaluación final fueron superiores en el grupo asistido por IA, especialmente entre los estudiantes que utilizaron con frecuencia indicaciones reflexivas. Un modelo de regresión jerárquica indicó que la frecuencia de prompts reflexivos y el promedio de cuestionarios semanales fueron predictores más sólidos que el tiempo total de uso de la herramienta.</w:t>
      </w:r>
    </w:p>
    <w:p>
      <w:pPr>
        <w:pStyle w:val="Heading2"/>
      </w:pPr>
      <w:r>
        <w:t>5. Discusión</w:t>
      </w:r>
    </w:p>
    <w:p>
      <w:pPr>
        <w:pStyle w:val="ScriptoriumBody"/>
      </w:pPr>
      <w:r>
        <w:t>Los hallazgos simulados apoyan una interpretación matizada del aprendizaje asistido por IA. El acceso a un sistema de IA se asoció con mayor flexibilidad cognitiva y rendimiento académico solo cuando la herramienta se utilizó de manera reflexiva. Esto sugiere que las instituciones deberían evaluar la calidad de la interacción, no simplemente la frecuencia de uso. Para la traducción académica, términos como interacción estructurada, andamiaje, procesamiento superficial y esfuerzo productivo requieren equivalentes conceptuales estables.</w:t>
      </w:r>
    </w:p>
    <w:p>
      <w:pPr>
        <w:pStyle w:val="Heading2"/>
      </w:pPr>
      <w:r>
        <w:t>6. Limitaciones</w:t>
      </w:r>
    </w:p>
    <w:p>
      <w:pPr>
        <w:pStyle w:val="ScriptoriumBody"/>
      </w:pPr>
      <w:r>
        <w:t>Este artículo es un documento ficticio de demostración. La muestra, los instrumentos, los datos y los análisis fueron inventados con fines de portafolio y no deben citarse como evidencia empírica. En un estudio real, serían necesarios procedimientos de muestreo, instrumentos validados, revisión ética y análisis estadísticos completos.</w:t>
      </w:r>
    </w:p>
    <w:p>
      <w:pPr>
        <w:pStyle w:val="Heading2"/>
      </w:pPr>
      <w:r>
        <w:t>7. Conclusión</w:t>
      </w:r>
    </w:p>
    <w:p>
      <w:pPr>
        <w:pStyle w:val="ScriptoriumBody"/>
      </w:pPr>
      <w:r>
        <w:t>El aprendizaje asistido por IA tiene potencial para apoyar la flexibilidad cognitiva y el rendimiento académico cuando se integra en rutinas pedagógicas reflexivas. La evidencia simulada presentada aquí sugiere que el valor educativo de la IA depende menos del acceso técnico y más de la estructura metacognitiva que guía su uso.</w:t>
      </w:r>
    </w:p>
    <w:p>
      <w:pPr>
        <w:pStyle w:val="Heading2"/>
      </w:pPr>
      <w:r>
        <w:t>Agradecimiento</w:t>
      </w:r>
    </w:p>
    <w:p>
      <w:pPr>
        <w:pStyle w:val="ScriptoriumBody"/>
      </w:pPr>
      <w:r>
        <w:t>Este manuscrito es un documento ficticio original creado por Scriptorium para el desarrollo de un portafolio de traducción. No está asociado con ninguna revista, universidad, proyecto de investigación o participante real.</w:t>
      </w:r>
    </w:p>
    <w:p>
      <w:pPr>
        <w:pStyle w:val="Heading2"/>
      </w:pPr>
      <w:r>
        <w:t>Terminology sample</w:t>
      </w:r>
    </w:p>
    <w:tbl>
      <w:tblPr>
        <w:tblStyle w:val="TableGrid"/>
        <w:tblW w:type="auto" w:w="0"/>
        <w:jc w:val="center"/>
        <w:tblLook w:firstColumn="1" w:firstRow="1" w:lastColumn="0" w:lastRow="0" w:noHBand="0" w:noVBand="1" w:val="04A0"/>
      </w:tblPr>
      <w:tblGrid>
        <w:gridCol w:w="4946"/>
        <w:gridCol w:w="4946"/>
      </w:tblGrid>
      <w:tr>
        <w:tc>
          <w:tcPr>
            <w:tcW w:type="dxa" w:w="4946"/>
            <w:shd w:fill="14223E"/>
          </w:tcPr>
          <w:p>
            <w:r>
              <w:rPr>
                <w:b/>
                <w:color w:val="FFFFFF"/>
              </w:rPr>
              <w:t>English source term</w:t>
            </w:r>
          </w:p>
        </w:tc>
        <w:tc>
          <w:tcPr>
            <w:tcW w:type="dxa" w:w="4946"/>
            <w:shd w:fill="14223E"/>
          </w:tcPr>
          <w:p>
            <w:r>
              <w:rPr>
                <w:b/>
                <w:color w:val="FFFFFF"/>
              </w:rPr>
              <w:t>Spanish rendering</w:t>
            </w:r>
          </w:p>
        </w:tc>
      </w:tr>
      <w:tr>
        <w:tc>
          <w:tcPr>
            <w:tcW w:type="dxa" w:w="4946"/>
          </w:tcPr>
          <w:p>
            <w:r>
              <w:t>Cognitive flexibility</w:t>
            </w:r>
          </w:p>
        </w:tc>
        <w:tc>
          <w:tcPr>
            <w:tcW w:type="dxa" w:w="4946"/>
          </w:tcPr>
          <w:p>
            <w:r>
              <w:t>flexibilidad cognitiva</w:t>
            </w:r>
          </w:p>
        </w:tc>
      </w:tr>
      <w:tr>
        <w:tc>
          <w:tcPr>
            <w:tcW w:type="dxa" w:w="4946"/>
          </w:tcPr>
          <w:p>
            <w:r>
              <w:t>Self-regulated learning</w:t>
            </w:r>
          </w:p>
        </w:tc>
        <w:tc>
          <w:tcPr>
            <w:tcW w:type="dxa" w:w="4946"/>
          </w:tcPr>
          <w:p>
            <w:r>
              <w:t>aprendizaje autorregulado</w:t>
            </w:r>
          </w:p>
        </w:tc>
      </w:tr>
      <w:tr>
        <w:tc>
          <w:tcPr>
            <w:tcW w:type="dxa" w:w="4946"/>
          </w:tcPr>
          <w:p>
            <w:r>
              <w:t>Reflective prompting</w:t>
            </w:r>
          </w:p>
        </w:tc>
        <w:tc>
          <w:tcPr>
            <w:tcW w:type="dxa" w:w="4946"/>
          </w:tcPr>
          <w:p>
            <w:r>
              <w:t>indicaciones reflexivas / prompts reflexivos</w:t>
            </w:r>
          </w:p>
        </w:tc>
      </w:tr>
      <w:tr>
        <w:tc>
          <w:tcPr>
            <w:tcW w:type="dxa" w:w="4946"/>
          </w:tcPr>
          <w:p>
            <w:r>
              <w:t>Productive struggle</w:t>
            </w:r>
          </w:p>
        </w:tc>
        <w:tc>
          <w:tcPr>
            <w:tcW w:type="dxa" w:w="4946"/>
          </w:tcPr>
          <w:p>
            <w:r>
              <w:t>esfuerzo productivo</w:t>
            </w:r>
          </w:p>
        </w:tc>
      </w:tr>
      <w:tr>
        <w:tc>
          <w:tcPr>
            <w:tcW w:type="dxa" w:w="4946"/>
          </w:tcPr>
          <w:p>
            <w:r>
              <w:t>Shallow processing</w:t>
            </w:r>
          </w:p>
        </w:tc>
        <w:tc>
          <w:tcPr>
            <w:tcW w:type="dxa" w:w="4946"/>
          </w:tcPr>
          <w:p>
            <w:r>
              <w:t>procesamiento superficial</w:t>
            </w:r>
          </w:p>
        </w:tc>
      </w:tr>
      <w:tr>
        <w:tc>
          <w:tcPr>
            <w:tcW w:type="dxa" w:w="4946"/>
          </w:tcPr>
          <w:p>
            <w:r>
              <w:t>Scaffolding</w:t>
            </w:r>
          </w:p>
        </w:tc>
        <w:tc>
          <w:tcPr>
            <w:tcW w:type="dxa" w:w="4946"/>
          </w:tcPr>
          <w:p>
            <w:r>
              <w:t>andamiaje</w:t>
            </w:r>
          </w:p>
        </w:tc>
      </w:tr>
      <w:tr>
        <w:tc>
          <w:tcPr>
            <w:tcW w:type="dxa" w:w="4946"/>
          </w:tcPr>
          <w:p>
            <w:r>
              <w:t>Hierarchical regression</w:t>
            </w:r>
          </w:p>
        </w:tc>
        <w:tc>
          <w:tcPr>
            <w:tcW w:type="dxa" w:w="4946"/>
          </w:tcPr>
          <w:p>
            <w:r>
              <w:t>regresión jerárquica</w:t>
            </w:r>
          </w:p>
        </w:tc>
      </w:tr>
      <w:tr>
        <w:tc>
          <w:tcPr>
            <w:tcW w:type="dxa" w:w="4946"/>
          </w:tcPr>
          <w:p>
            <w:r>
              <w:t>Final applied assessment</w:t>
            </w:r>
          </w:p>
        </w:tc>
        <w:tc>
          <w:tcPr>
            <w:tcW w:type="dxa" w:w="4946"/>
          </w:tcPr>
          <w:p>
            <w:r>
              <w:t>evaluación aplicada final</w:t>
            </w:r>
          </w:p>
        </w:tc>
      </w:tr>
    </w:tbl>
    <w:p>
      <w:pPr>
        <w:pStyle w:val="ScriptoriumNote"/>
      </w:pPr>
      <w:r>
        <w:rPr>
          <w:b/>
        </w:rPr>
        <w:t xml:space="preserve">Quality-control note: </w:t>
      </w:r>
      <w:r>
        <w:t>Academic register, terminology consistency, fictional-status disclosure, and document formatting were preserved for portfolio demonstration purposes.</w:t>
      </w:r>
    </w:p>
    <w:p>
      <w:r>
        <w:br w:type="page"/>
      </w:r>
    </w:p>
    <w:p>
      <w:pPr>
        <w:jc w:val="left"/>
      </w:pPr>
      <w:r>
        <w:rPr>
          <w:rFonts w:ascii="Liberation Sans" w:hAnsi="Liberation Sans"/>
          <w:b/>
          <w:color w:val="D1AA49"/>
          <w:sz w:val="36"/>
        </w:rPr>
        <w:t>DEUTSCH TRANSLATION</w:t>
      </w:r>
    </w:p>
    <w:p>
      <w:pPr>
        <w:pStyle w:val="ScriptoriumNote"/>
      </w:pPr>
      <w:r>
        <w:t>Language direction: English → German | Sample type: Academic research article translation | Field: educational psychology and cognitive science</w:t>
      </w:r>
    </w:p>
    <w:p>
      <w:pPr>
        <w:pStyle w:val="Heading1"/>
      </w:pPr>
      <w:r>
        <w:t>Der Einfluss von KI-gestütztem Lernen auf kognitive Flexibilität und akademische Leistung bei Universitätsstudierenden</w:t>
      </w:r>
    </w:p>
    <w:p>
      <w:pPr>
        <w:pStyle w:val="Heading2"/>
      </w:pPr>
      <w:r>
        <w:t>Abstract</w:t>
      </w:r>
    </w:p>
    <w:p>
      <w:pPr>
        <w:pStyle w:val="ScriptoriumBody"/>
      </w:pPr>
      <w:r>
        <w:t>KI-gestützte Lernsysteme werden in der Hochschulbildung zunehmend eingesetzt, doch ihre kognitiven Effekte sind weiterhin nur teilweise verstanden. Diese fiktive Demonstrationsstudie untersucht, ob eine strukturierte Interaktion mit einer KI-basierten Tutoriumsoberfläche mit Veränderungen der kognitiven Flexibilität, des selbstregulierten Lernens und der akademischen Leistung von Universitätsstudierenden verbunden ist. Es wurde eine quasi-experimentelle Simulation mit 186 Teilnehmenden in zwei Unterrichtsbedingungen entworfen. Die simulierten Ergebnisse deuten darauf hin, dass reflektierte Interaktion mit KI-Werkzeugen kognitive Flexibilität fördern kann, wenn sie in explizite pädagogische Routinen eingebettet ist, nicht jedoch, wenn sie lediglich als Mechanismus für schnelle Antworten genutzt wird. Das Dokument wurde als originale Portfolio-Probe für akademische Übersetzung, Terminologiekontrolle und Formaterhaltung erstellt.</w:t>
      </w:r>
    </w:p>
    <w:p>
      <w:pPr>
        <w:pStyle w:val="Heading2"/>
      </w:pPr>
      <w:r>
        <w:t>Keywords / Palabras clave / Schlüsselwörter</w:t>
      </w:r>
    </w:p>
    <w:p>
      <w:pPr>
        <w:pStyle w:val="ScriptoriumBody"/>
      </w:pPr>
      <w:r>
        <w:t>künstliche Intelligenz; kognitive Flexibilität; selbstreguliertes Lernen; akademische Leistung; Hochschulbildung; Pädagogische Psychologie</w:t>
      </w:r>
    </w:p>
    <w:p>
      <w:pPr>
        <w:pStyle w:val="Heading2"/>
      </w:pPr>
      <w:r>
        <w:t>1. Einleitung</w:t>
      </w:r>
    </w:p>
    <w:p>
      <w:pPr>
        <w:pStyle w:val="ScriptoriumBody"/>
      </w:pPr>
      <w:r>
        <w:t>Die Integration künstlicher Intelligenz in universitäre Lernumgebungen hat sich von einer experimentellen Neuheit zu einer alltäglichen akademischen Praxis entwickelt. Studierende nutzen dialogbasierte Systeme, adaptive Plattformen und generative Werkzeuge, um Konzepte zu erkunden, Texte zusammenzufassen, Rückmeldungen zu erhalten und Prüfungen vorzubereiten. Diese Praktiken erweitern den Zugang zu akademischer Unterstützung, werfen jedoch zugleich Fragen nach Tiefenlernen, technologischer Abhängigkeit und der Qualität kognitiver Prozesse auf.</w:t>
      </w:r>
    </w:p>
    <w:p>
      <w:pPr>
        <w:pStyle w:val="Heading2"/>
      </w:pPr>
      <w:r>
        <w:t>2. Theoretischer Hintergrund</w:t>
      </w:r>
    </w:p>
    <w:p>
      <w:pPr>
        <w:pStyle w:val="ScriptoriumBody"/>
      </w:pPr>
      <w:r>
        <w:t>Die Forschung zum selbstregulierten Lernen betont, dass Studierende effektiver lernen, wenn sie ihr Verständnis überwachen, Ziele setzen, Strategien auswählen und ihr Verhalten nach Feedback anpassen. Aus kognitiver Perspektive ist die Qualität der Interaktion wichtiger als bloße Exposition. Reflektierende Prompts, etwa das Vergleichen zweier Erklärungen oder das Identifizieren schwacher Annahmen, können metakognitive Prozesse aktivieren und oberflächliche Verarbeitung reduzieren.</w:t>
      </w:r>
    </w:p>
    <w:p>
      <w:pPr>
        <w:pStyle w:val="Heading2"/>
      </w:pPr>
      <w:r>
        <w:t>3. Methode</w:t>
      </w:r>
    </w:p>
    <w:p>
      <w:pPr>
        <w:pStyle w:val="ScriptoriumBody"/>
      </w:pPr>
      <w:r>
        <w:t>Es wurde eine quasi-experimentelle Simulation entwickelt, um zwei Unterrichtsbedingungen zu modellieren. Die KI-gestützte Gruppe nutzte eine strukturierte Tutoriumsoberfläche, die in ein sechswöchiges Modul zur Forschungsmethodik integriert war. Die Vergleichsgruppe erhielt dieselben Materialien, Tests und Aufgaben, jedoch ohne Zugang zum KI-Tutor. Die simulierte Stichprobe umfasste 186 Studierende im Alter von 18 bis 27 Jahren. Die Messinstrumente umfassten ein Inventar kognitiver Flexibilität, einen Index selbstregulierten Lernens, wöchentliche Tests und eine abschließende angewandte Leistungsbewertung.</w:t>
      </w:r>
    </w:p>
    <w:p>
      <w:pPr>
        <w:pStyle w:val="Heading2"/>
      </w:pPr>
      <w:r>
        <w:t>4. Ergebnisse</w:t>
      </w:r>
    </w:p>
    <w:p>
      <w:pPr>
        <w:pStyle w:val="ScriptoriumBody"/>
      </w:pPr>
      <w:r>
        <w:t>Die simulierten Ergebnisse zeigten einen moderaten Anstieg der Werte kognitiver Flexibilität in der KI-gestützten Gruppe vom Prätest zum Posttest. Auch die Vergleichsgruppe verbesserte sich, jedoch in geringerem Ausmaß. Die Ergebnisse der abschließenden Bewertung lagen in der KI-gestützten Gruppe höher, besonders bei Studierenden, die häufig reflektierende Prompts nutzten. Ein hierarchisches Regressionsmodell zeigte, dass die Häufigkeit reflektierender Prompts und der Durchschnitt der wöchentlichen Tests stärkere Prädiktoren waren als die gesamte Nutzungszeit des Werkzeugs.</w:t>
      </w:r>
    </w:p>
    <w:p>
      <w:pPr>
        <w:pStyle w:val="Heading2"/>
      </w:pPr>
      <w:r>
        <w:t>5. Diskussion</w:t>
      </w:r>
    </w:p>
    <w:p>
      <w:pPr>
        <w:pStyle w:val="ScriptoriumBody"/>
      </w:pPr>
      <w:r>
        <w:t>Die simulierten Befunde stützen eine differenzierte Interpretation KI-gestützten Lernens. Der Zugang zu einem KI-System war nur dann mit höherer kognitiver Flexibilität und besserer akademischer Leistung verbunden, wenn das Werkzeug reflektiert eingesetzt wurde. Institutionen sollten daher nicht nur die Nutzungshäufigkeit, sondern die Qualität der Interaktion bewerten. Für die akademische Übersetzung erfordern Begriffe wie strukturierte Interaktion, Scaffolding, oberflächliche Verarbeitung und produktive Anstrengung stabile konzeptuelle Entsprechungen.</w:t>
      </w:r>
    </w:p>
    <w:p>
      <w:pPr>
        <w:pStyle w:val="Heading2"/>
      </w:pPr>
      <w:r>
        <w:t>6. Einschränkungen</w:t>
      </w:r>
    </w:p>
    <w:p>
      <w:pPr>
        <w:pStyle w:val="ScriptoriumBody"/>
      </w:pPr>
      <w:r>
        <w:t>Dieser Artikel ist ein fiktives Demonstrationsdokument. Stichprobe, Messinstrumente, Daten und Analysen wurden zu Portfolio-Zwecken erfunden und dürfen nicht als empirische Evidenz zitiert werden. In einer realen Studie wären Stichprobenverfahren, validierte Instrumente, Ethikprüfung und vollständige statistische Analysen erforderlich.</w:t>
      </w:r>
    </w:p>
    <w:p>
      <w:pPr>
        <w:pStyle w:val="Heading2"/>
      </w:pPr>
      <w:r>
        <w:t>7. Schlussfolgerung</w:t>
      </w:r>
    </w:p>
    <w:p>
      <w:pPr>
        <w:pStyle w:val="ScriptoriumBody"/>
      </w:pPr>
      <w:r>
        <w:t>KI-gestütztes Lernen kann kognitive Flexibilität und akademische Leistung fördern, wenn es in reflektierende pädagogische Routinen eingebettet ist. Die hier präsentierte simulierte Evidenz legt nahe, dass der Bildungswert von KI weniger vom technischen Zugang als von der metakognitiven Struktur abhängt, die ihre Nutzung leitet.</w:t>
      </w:r>
    </w:p>
    <w:p>
      <w:pPr>
        <w:pStyle w:val="Heading2"/>
      </w:pPr>
      <w:r>
        <w:t>Danksagung</w:t>
      </w:r>
    </w:p>
    <w:p>
      <w:pPr>
        <w:pStyle w:val="ScriptoriumBody"/>
      </w:pPr>
      <w:r>
        <w:t>Dieses Manuskript ist ein originales fiktives Dokument, das von Scriptorium für die Entwicklung eines Übersetzungsportfolios erstellt wurde. Es steht mit keiner realen Zeitschrift, Universität, Forschungsgruppe oder Person in Verbindung.</w:t>
      </w:r>
    </w:p>
    <w:p>
      <w:pPr>
        <w:pStyle w:val="Heading2"/>
      </w:pPr>
      <w:r>
        <w:t>Terminology sample</w:t>
      </w:r>
    </w:p>
    <w:tbl>
      <w:tblPr>
        <w:tblStyle w:val="TableGrid"/>
        <w:tblW w:type="auto" w:w="0"/>
        <w:jc w:val="center"/>
        <w:tblLook w:firstColumn="1" w:firstRow="1" w:lastColumn="0" w:lastRow="0" w:noHBand="0" w:noVBand="1" w:val="04A0"/>
      </w:tblPr>
      <w:tblGrid>
        <w:gridCol w:w="4946"/>
        <w:gridCol w:w="4946"/>
      </w:tblGrid>
      <w:tr>
        <w:tc>
          <w:tcPr>
            <w:tcW w:type="dxa" w:w="4946"/>
            <w:shd w:fill="14223E"/>
          </w:tcPr>
          <w:p>
            <w:r>
              <w:rPr>
                <w:b/>
                <w:color w:val="FFFFFF"/>
              </w:rPr>
              <w:t>English source term</w:t>
            </w:r>
          </w:p>
        </w:tc>
        <w:tc>
          <w:tcPr>
            <w:tcW w:type="dxa" w:w="4946"/>
            <w:shd w:fill="14223E"/>
          </w:tcPr>
          <w:p>
            <w:r>
              <w:rPr>
                <w:b/>
                <w:color w:val="FFFFFF"/>
              </w:rPr>
              <w:t>German rendering</w:t>
            </w:r>
          </w:p>
        </w:tc>
      </w:tr>
      <w:tr>
        <w:tc>
          <w:tcPr>
            <w:tcW w:type="dxa" w:w="4946"/>
          </w:tcPr>
          <w:p>
            <w:r>
              <w:t>Cognitive flexibility</w:t>
            </w:r>
          </w:p>
        </w:tc>
        <w:tc>
          <w:tcPr>
            <w:tcW w:type="dxa" w:w="4946"/>
          </w:tcPr>
          <w:p>
            <w:r>
              <w:t>kognitive Flexibilität</w:t>
            </w:r>
          </w:p>
        </w:tc>
      </w:tr>
      <w:tr>
        <w:tc>
          <w:tcPr>
            <w:tcW w:type="dxa" w:w="4946"/>
          </w:tcPr>
          <w:p>
            <w:r>
              <w:t>Self-regulated learning</w:t>
            </w:r>
          </w:p>
        </w:tc>
        <w:tc>
          <w:tcPr>
            <w:tcW w:type="dxa" w:w="4946"/>
          </w:tcPr>
          <w:p>
            <w:r>
              <w:t>selbstreguliertes Lernen</w:t>
            </w:r>
          </w:p>
        </w:tc>
      </w:tr>
      <w:tr>
        <w:tc>
          <w:tcPr>
            <w:tcW w:type="dxa" w:w="4946"/>
          </w:tcPr>
          <w:p>
            <w:r>
              <w:t>Reflective prompting</w:t>
            </w:r>
          </w:p>
        </w:tc>
        <w:tc>
          <w:tcPr>
            <w:tcW w:type="dxa" w:w="4946"/>
          </w:tcPr>
          <w:p>
            <w:r>
              <w:t>reflektierende Prompts</w:t>
            </w:r>
          </w:p>
        </w:tc>
      </w:tr>
      <w:tr>
        <w:tc>
          <w:tcPr>
            <w:tcW w:type="dxa" w:w="4946"/>
          </w:tcPr>
          <w:p>
            <w:r>
              <w:t>Productive struggle</w:t>
            </w:r>
          </w:p>
        </w:tc>
        <w:tc>
          <w:tcPr>
            <w:tcW w:type="dxa" w:w="4946"/>
          </w:tcPr>
          <w:p>
            <w:r>
              <w:t>produktive Anstrengung</w:t>
            </w:r>
          </w:p>
        </w:tc>
      </w:tr>
      <w:tr>
        <w:tc>
          <w:tcPr>
            <w:tcW w:type="dxa" w:w="4946"/>
          </w:tcPr>
          <w:p>
            <w:r>
              <w:t>Shallow processing</w:t>
            </w:r>
          </w:p>
        </w:tc>
        <w:tc>
          <w:tcPr>
            <w:tcW w:type="dxa" w:w="4946"/>
          </w:tcPr>
          <w:p>
            <w:r>
              <w:t>oberflächliche Verarbeitung</w:t>
            </w:r>
          </w:p>
        </w:tc>
      </w:tr>
      <w:tr>
        <w:tc>
          <w:tcPr>
            <w:tcW w:type="dxa" w:w="4946"/>
          </w:tcPr>
          <w:p>
            <w:r>
              <w:t>Scaffolding</w:t>
            </w:r>
          </w:p>
        </w:tc>
        <w:tc>
          <w:tcPr>
            <w:tcW w:type="dxa" w:w="4946"/>
          </w:tcPr>
          <w:p>
            <w:r>
              <w:t>Scaffolding / didaktisches Gerüst</w:t>
            </w:r>
          </w:p>
        </w:tc>
      </w:tr>
      <w:tr>
        <w:tc>
          <w:tcPr>
            <w:tcW w:type="dxa" w:w="4946"/>
          </w:tcPr>
          <w:p>
            <w:r>
              <w:t>Hierarchical regression</w:t>
            </w:r>
          </w:p>
        </w:tc>
        <w:tc>
          <w:tcPr>
            <w:tcW w:type="dxa" w:w="4946"/>
          </w:tcPr>
          <w:p>
            <w:r>
              <w:t>hierarchische Regression</w:t>
            </w:r>
          </w:p>
        </w:tc>
      </w:tr>
      <w:tr>
        <w:tc>
          <w:tcPr>
            <w:tcW w:type="dxa" w:w="4946"/>
          </w:tcPr>
          <w:p>
            <w:r>
              <w:t>Final applied assessment</w:t>
            </w:r>
          </w:p>
        </w:tc>
        <w:tc>
          <w:tcPr>
            <w:tcW w:type="dxa" w:w="4946"/>
          </w:tcPr>
          <w:p>
            <w:r>
              <w:t>abschließende angewandte Leistungsbewertung</w:t>
            </w:r>
          </w:p>
        </w:tc>
      </w:tr>
    </w:tbl>
    <w:p>
      <w:pPr>
        <w:pStyle w:val="ScriptoriumNote"/>
      </w:pPr>
      <w:r>
        <w:rPr>
          <w:b/>
        </w:rPr>
        <w:t xml:space="preserve">Quality-control note: </w:t>
      </w:r>
      <w:r>
        <w:t>Academic register, terminology consistency, fictional-status disclosure, and document formatting were preserved for portfolio demonstration purposes.</w:t>
      </w:r>
    </w:p>
    <w:p>
      <w:r>
        <w:br w:type="page"/>
      </w:r>
    </w:p>
    <w:p>
      <w:pPr>
        <w:jc w:val="left"/>
      </w:pPr>
      <w:r>
        <w:rPr>
          <w:rFonts w:ascii="Liberation Sans" w:hAnsi="Liberation Sans"/>
          <w:b/>
          <w:color w:val="D1AA49"/>
          <w:sz w:val="36"/>
        </w:rPr>
        <w:t>FRANÇAIS TRANSLATION</w:t>
      </w:r>
    </w:p>
    <w:p>
      <w:pPr>
        <w:pStyle w:val="ScriptoriumNote"/>
      </w:pPr>
      <w:r>
        <w:t>Language direction: English → French | Sample type: Academic research article translation | Field: educational psychology and cognitive science</w:t>
      </w:r>
    </w:p>
    <w:p>
      <w:pPr>
        <w:pStyle w:val="Heading1"/>
      </w:pPr>
      <w:r>
        <w:t>L’influence de l’apprentissage assisté par l’intelligence artificielle sur la flexibilité cognitive et la performance académique chez les étudiants universitaires</w:t>
      </w:r>
    </w:p>
    <w:p>
      <w:pPr>
        <w:pStyle w:val="Heading2"/>
      </w:pPr>
      <w:r>
        <w:t>Abstract</w:t>
      </w:r>
    </w:p>
    <w:p>
      <w:pPr>
        <w:pStyle w:val="ScriptoriumBody"/>
      </w:pPr>
      <w:r>
        <w:t>Les systèmes d’apprentissage assistés par l’intelligence artificielle sont de plus en plus utilisés dans l’enseignement supérieur, mais leurs effets cognitifs demeurent incomplètement compris. Cette étude fictive de démonstration examine si une interaction structurée avec une interface de tutorat fondée sur l’IA est associée à des changements de flexibilité cognitive, d’apprentissage autorégulé et de performance académique chez les étudiants universitaires. Une simulation quasi expérimentale a été conçue avec 186 participants répartis dans deux conditions pédagogiques. Les résultats simulés suggèrent que l’interaction réflexive avec les outils d’IA peut soutenir la flexibilité cognitive lorsqu’elle est intégrée à des routines pédagogiques explicites, mais non lorsqu’elle est utilisée uniquement comme mécanisme de réponse rapide. Ce document a été créé comme échantillon original afin de démontrer la traduction académique, la gestion terminologique et la conservation du format.</w:t>
      </w:r>
    </w:p>
    <w:p>
      <w:pPr>
        <w:pStyle w:val="Heading2"/>
      </w:pPr>
      <w:r>
        <w:t>Keywords / Palabras clave / Schlüsselwörter</w:t>
      </w:r>
    </w:p>
    <w:p>
      <w:pPr>
        <w:pStyle w:val="ScriptoriumBody"/>
      </w:pPr>
      <w:r>
        <w:t>intelligence artificielle; flexibilité cognitive; apprentissage autorégulé; performance académique; enseignement supérieur; psychologie de l’éducation</w:t>
      </w:r>
    </w:p>
    <w:p>
      <w:pPr>
        <w:pStyle w:val="Heading2"/>
      </w:pPr>
      <w:r>
        <w:t>1. Introduction</w:t>
      </w:r>
    </w:p>
    <w:p>
      <w:pPr>
        <w:pStyle w:val="ScriptoriumBody"/>
      </w:pPr>
      <w:r>
        <w:t>L’intégration de l’intelligence artificielle dans les environnements d’apprentissage universitaires est passée du statut de nouveauté expérimentale à celui de pratique académique courante. Les étudiants utilisent des systèmes conversationnels, des plateformes adaptatives et des outils génératifs pour explorer des concepts, résumer des lectures, recevoir des retours et préparer des évaluations. Ces pratiques élargissent l’accès au soutien académique, mais soulèvent aussi des questions relatives à l’apprentissage en profondeur, à la dépendance technologique et à la qualité des processus cognitifs.</w:t>
      </w:r>
    </w:p>
    <w:p>
      <w:pPr>
        <w:pStyle w:val="Heading2"/>
      </w:pPr>
      <w:r>
        <w:t>2. Cadre théorique</w:t>
      </w:r>
    </w:p>
    <w:p>
      <w:pPr>
        <w:pStyle w:val="ScriptoriumBody"/>
      </w:pPr>
      <w:r>
        <w:t>Les travaux sur l’apprentissage autorégulé soulignent que les étudiants apprennent plus efficacement lorsqu’ils surveillent leur compréhension, fixent des objectifs, sélectionnent des stratégies et ajustent leur comportement après un retour. D’un point de vue cognitif, la qualité de l’interaction importe davantage que l’exposition seule. Les consignes réflexives, telles que comparer deux explications ou identifier une hypothèse faible, peuvent activer des processus métacognitifs et éviter un traitement superficiel.</w:t>
      </w:r>
    </w:p>
    <w:p>
      <w:pPr>
        <w:pStyle w:val="Heading2"/>
      </w:pPr>
      <w:r>
        <w:t>3. Méthode</w:t>
      </w:r>
    </w:p>
    <w:p>
      <w:pPr>
        <w:pStyle w:val="ScriptoriumBody"/>
      </w:pPr>
      <w:r>
        <w:t>Une simulation quasi expérimentale a été élaborée afin de modéliser deux conditions pédagogiques. Le groupe assisté par l’IA a utilisé une interface de tutorat structurée intégrée à un module de méthodologie de recherche de six semaines. Le groupe de comparaison a reçu les mêmes supports, questionnaires et tâches, mais sans accès au tuteur IA. L’échantillon simulé comprenait 186 étudiants universitaires âgés de 18 à 27 ans. Les mesures incluaient un inventaire de flexibilité cognitive, un indice d’apprentissage autorégulé, des questionnaires hebdomadaires et une évaluation appliquée finale.</w:t>
      </w:r>
    </w:p>
    <w:p>
      <w:pPr>
        <w:pStyle w:val="Heading2"/>
      </w:pPr>
      <w:r>
        <w:t>4. Résultats</w:t>
      </w:r>
    </w:p>
    <w:p>
      <w:pPr>
        <w:pStyle w:val="ScriptoriumBody"/>
      </w:pPr>
      <w:r>
        <w:t>Les résultats simulés ont montré une augmentation modérée des scores de flexibilité cognitive dans le groupe assisté par l’IA entre le prétest et le post-test. Le groupe de comparaison s’est également amélioré, mais dans une moindre mesure. Les scores de l’évaluation finale étaient plus élevés dans le groupe assisté par l’IA, surtout chez les étudiants qui utilisaient fréquemment des consignes réflexives. Un modèle de régression hiérarchique a indiqué que la fréquence des prompts réflexifs et la moyenne des questionnaires hebdomadaires prédisaient mieux la performance finale que le temps total d’utilisation de l’outil.</w:t>
      </w:r>
    </w:p>
    <w:p>
      <w:pPr>
        <w:pStyle w:val="Heading2"/>
      </w:pPr>
      <w:r>
        <w:t>5. Discussion</w:t>
      </w:r>
    </w:p>
    <w:p>
      <w:pPr>
        <w:pStyle w:val="ScriptoriumBody"/>
      </w:pPr>
      <w:r>
        <w:t>Les résultats simulés soutiennent une interprétation nuancée de l’apprentissage assisté par l’IA. L’accès à un système d’IA n’était associé à une meilleure flexibilité cognitive et à une performance académique plus élevée que lorsque l’outil était utilisé de façon réflexive. Les établissements devraient donc évaluer la qualité de l’interaction plutôt que la seule fréquence d’utilisation. Pour la traduction académique, des termes tels qu’interaction structurée, étayage, traitement superficiel et effort productif exigent des équivalents conceptuels stables.</w:t>
      </w:r>
    </w:p>
    <w:p>
      <w:pPr>
        <w:pStyle w:val="Heading2"/>
      </w:pPr>
      <w:r>
        <w:t>6. Limites</w:t>
      </w:r>
    </w:p>
    <w:p>
      <w:pPr>
        <w:pStyle w:val="ScriptoriumBody"/>
      </w:pPr>
      <w:r>
        <w:t>Cet article est un document fictif de démonstration. L’échantillon, les instruments, les données et les analyses ont été inventés à des fins de portfolio et ne doivent pas être cités comme preuve empirique. Dans une étude réelle, il faudrait prévoir un échantillonnage rigoureux, des instruments validés, une approbation éthique et des analyses statistiques complètes.</w:t>
      </w:r>
    </w:p>
    <w:p>
      <w:pPr>
        <w:pStyle w:val="Heading2"/>
      </w:pPr>
      <w:r>
        <w:t>7. Conclusion</w:t>
      </w:r>
    </w:p>
    <w:p>
      <w:pPr>
        <w:pStyle w:val="ScriptoriumBody"/>
      </w:pPr>
      <w:r>
        <w:t>L’apprentissage assisté par l’IA peut soutenir la flexibilité cognitive et la performance académique lorsqu’il est intégré à des routines pédagogiques réflexives. Les données simulées présentées ici suggèrent que la valeur éducative de l’IA dépend moins de l’accès technique que de la structure métacognitive qui guide son usage.</w:t>
      </w:r>
    </w:p>
    <w:p>
      <w:pPr>
        <w:pStyle w:val="Heading2"/>
      </w:pPr>
      <w:r>
        <w:t>Remerciements</w:t>
      </w:r>
    </w:p>
    <w:p>
      <w:pPr>
        <w:pStyle w:val="ScriptoriumBody"/>
      </w:pPr>
      <w:r>
        <w:t>Ce manuscrit est un document fictif original créé par Scriptorium pour le développement d’un portfolio de traduction. Il n’est associé à aucune revue, université, recherche ou personne réelle.</w:t>
      </w:r>
    </w:p>
    <w:p>
      <w:pPr>
        <w:pStyle w:val="Heading2"/>
      </w:pPr>
      <w:r>
        <w:t>Terminology sample</w:t>
      </w:r>
    </w:p>
    <w:tbl>
      <w:tblPr>
        <w:tblStyle w:val="TableGrid"/>
        <w:tblW w:type="auto" w:w="0"/>
        <w:jc w:val="center"/>
        <w:tblLook w:firstColumn="1" w:firstRow="1" w:lastColumn="0" w:lastRow="0" w:noHBand="0" w:noVBand="1" w:val="04A0"/>
      </w:tblPr>
      <w:tblGrid>
        <w:gridCol w:w="4946"/>
        <w:gridCol w:w="4946"/>
      </w:tblGrid>
      <w:tr>
        <w:tc>
          <w:tcPr>
            <w:tcW w:type="dxa" w:w="4946"/>
            <w:shd w:fill="14223E"/>
          </w:tcPr>
          <w:p>
            <w:r>
              <w:rPr>
                <w:b/>
                <w:color w:val="FFFFFF"/>
              </w:rPr>
              <w:t>English source term</w:t>
            </w:r>
          </w:p>
        </w:tc>
        <w:tc>
          <w:tcPr>
            <w:tcW w:type="dxa" w:w="4946"/>
            <w:shd w:fill="14223E"/>
          </w:tcPr>
          <w:p>
            <w:r>
              <w:rPr>
                <w:b/>
                <w:color w:val="FFFFFF"/>
              </w:rPr>
              <w:t>French rendering</w:t>
            </w:r>
          </w:p>
        </w:tc>
      </w:tr>
      <w:tr>
        <w:tc>
          <w:tcPr>
            <w:tcW w:type="dxa" w:w="4946"/>
          </w:tcPr>
          <w:p>
            <w:r>
              <w:t>Cognitive flexibility</w:t>
            </w:r>
          </w:p>
        </w:tc>
        <w:tc>
          <w:tcPr>
            <w:tcW w:type="dxa" w:w="4946"/>
          </w:tcPr>
          <w:p>
            <w:r>
              <w:t>flexibilité cognitive</w:t>
            </w:r>
          </w:p>
        </w:tc>
      </w:tr>
      <w:tr>
        <w:tc>
          <w:tcPr>
            <w:tcW w:type="dxa" w:w="4946"/>
          </w:tcPr>
          <w:p>
            <w:r>
              <w:t>Self-regulated learning</w:t>
            </w:r>
          </w:p>
        </w:tc>
        <w:tc>
          <w:tcPr>
            <w:tcW w:type="dxa" w:w="4946"/>
          </w:tcPr>
          <w:p>
            <w:r>
              <w:t>apprentissage autorégulé</w:t>
            </w:r>
          </w:p>
        </w:tc>
      </w:tr>
      <w:tr>
        <w:tc>
          <w:tcPr>
            <w:tcW w:type="dxa" w:w="4946"/>
          </w:tcPr>
          <w:p>
            <w:r>
              <w:t>Reflective prompting</w:t>
            </w:r>
          </w:p>
        </w:tc>
        <w:tc>
          <w:tcPr>
            <w:tcW w:type="dxa" w:w="4946"/>
          </w:tcPr>
          <w:p>
            <w:r>
              <w:t>consignes réflexives / prompts réflexifs</w:t>
            </w:r>
          </w:p>
        </w:tc>
      </w:tr>
      <w:tr>
        <w:tc>
          <w:tcPr>
            <w:tcW w:type="dxa" w:w="4946"/>
          </w:tcPr>
          <w:p>
            <w:r>
              <w:t>Productive struggle</w:t>
            </w:r>
          </w:p>
        </w:tc>
        <w:tc>
          <w:tcPr>
            <w:tcW w:type="dxa" w:w="4946"/>
          </w:tcPr>
          <w:p>
            <w:r>
              <w:t>effort productif</w:t>
            </w:r>
          </w:p>
        </w:tc>
      </w:tr>
      <w:tr>
        <w:tc>
          <w:tcPr>
            <w:tcW w:type="dxa" w:w="4946"/>
          </w:tcPr>
          <w:p>
            <w:r>
              <w:t>Shallow processing</w:t>
            </w:r>
          </w:p>
        </w:tc>
        <w:tc>
          <w:tcPr>
            <w:tcW w:type="dxa" w:w="4946"/>
          </w:tcPr>
          <w:p>
            <w:r>
              <w:t>traitement superficiel</w:t>
            </w:r>
          </w:p>
        </w:tc>
      </w:tr>
      <w:tr>
        <w:tc>
          <w:tcPr>
            <w:tcW w:type="dxa" w:w="4946"/>
          </w:tcPr>
          <w:p>
            <w:r>
              <w:t>Scaffolding</w:t>
            </w:r>
          </w:p>
        </w:tc>
        <w:tc>
          <w:tcPr>
            <w:tcW w:type="dxa" w:w="4946"/>
          </w:tcPr>
          <w:p>
            <w:r>
              <w:t>étayage</w:t>
            </w:r>
          </w:p>
        </w:tc>
      </w:tr>
      <w:tr>
        <w:tc>
          <w:tcPr>
            <w:tcW w:type="dxa" w:w="4946"/>
          </w:tcPr>
          <w:p>
            <w:r>
              <w:t>Hierarchical regression</w:t>
            </w:r>
          </w:p>
        </w:tc>
        <w:tc>
          <w:tcPr>
            <w:tcW w:type="dxa" w:w="4946"/>
          </w:tcPr>
          <w:p>
            <w:r>
              <w:t>régression hiérarchique</w:t>
            </w:r>
          </w:p>
        </w:tc>
      </w:tr>
      <w:tr>
        <w:tc>
          <w:tcPr>
            <w:tcW w:type="dxa" w:w="4946"/>
          </w:tcPr>
          <w:p>
            <w:r>
              <w:t>Final applied assessment</w:t>
            </w:r>
          </w:p>
        </w:tc>
        <w:tc>
          <w:tcPr>
            <w:tcW w:type="dxa" w:w="4946"/>
          </w:tcPr>
          <w:p>
            <w:r>
              <w:t>évaluation appliquée finale</w:t>
            </w:r>
          </w:p>
        </w:tc>
      </w:tr>
    </w:tbl>
    <w:p>
      <w:pPr>
        <w:pStyle w:val="ScriptoriumNote"/>
      </w:pPr>
      <w:r>
        <w:rPr>
          <w:b/>
        </w:rPr>
        <w:t xml:space="preserve">Quality-control note: </w:t>
      </w:r>
      <w:r>
        <w:t>Academic register, terminology consistency, fictional-status disclosure, and document formatting were preserved for portfolio demonstration purposes.</w:t>
      </w:r>
    </w:p>
    <w:p>
      <w:r>
        <w:br w:type="page"/>
      </w:r>
    </w:p>
    <w:p>
      <w:pPr>
        <w:jc w:val="left"/>
      </w:pPr>
      <w:r>
        <w:rPr>
          <w:rFonts w:ascii="Liberation Sans" w:hAnsi="Liberation Sans"/>
          <w:b/>
          <w:color w:val="D1AA49"/>
          <w:sz w:val="36"/>
        </w:rPr>
        <w:t>PORTUGUÊS TRANSLATION</w:t>
      </w:r>
    </w:p>
    <w:p>
      <w:pPr>
        <w:pStyle w:val="ScriptoriumNote"/>
      </w:pPr>
      <w:r>
        <w:t>Language direction: English → Portuguese | Sample type: Academic research article translation | Field: educational psychology and cognitive science</w:t>
      </w:r>
    </w:p>
    <w:p>
      <w:pPr>
        <w:pStyle w:val="Heading1"/>
      </w:pPr>
      <w:r>
        <w:t>A influência da aprendizagem assistida por inteligência artificial na flexibilidade cognitiva e no desempenho acadêmico de estudantes universitários</w:t>
      </w:r>
    </w:p>
    <w:p>
      <w:pPr>
        <w:pStyle w:val="Heading2"/>
      </w:pPr>
      <w:r>
        <w:t>Abstract</w:t>
      </w:r>
    </w:p>
    <w:p>
      <w:pPr>
        <w:pStyle w:val="ScriptoriumBody"/>
      </w:pPr>
      <w:r>
        <w:t>Os sistemas de aprendizagem assistida por inteligência artificial são cada vez mais utilizados no ensino superior, embora seus efeitos cognitivos ainda não sejam totalmente compreendidos. Este estudo fictício de demonstração examina se a interação estruturada com uma interface de tutoria baseada em IA está associada a mudanças na flexibilidade cognitiva, na aprendizagem autorregulada e no desempenho acadêmico de estudantes universitários. Foi criada uma simulação quase experimental com 186 participantes distribuídos em duas condições instrucionais. Os resultados simulados sugerem que a interação reflexiva com ferramentas de IA pode favorecer a flexibilidade cognitiva quando integrada a rotinas pedagógicas explícitas, mas não quando usada apenas como mecanismo de resposta rápida. O documento foi criado como amostra original para demonstrar tradução acadêmica, controle terminológico e preservação de formato.</w:t>
      </w:r>
    </w:p>
    <w:p>
      <w:pPr>
        <w:pStyle w:val="Heading2"/>
      </w:pPr>
      <w:r>
        <w:t>Keywords / Palabras clave / Schlüsselwörter</w:t>
      </w:r>
    </w:p>
    <w:p>
      <w:pPr>
        <w:pStyle w:val="ScriptoriumBody"/>
      </w:pPr>
      <w:r>
        <w:t>inteligência artificial; flexibilidade cognitiva; aprendizagem autorregulada; desempenho acadêmico; ensino superior; psicologia educacional</w:t>
      </w:r>
    </w:p>
    <w:p>
      <w:pPr>
        <w:pStyle w:val="Heading2"/>
      </w:pPr>
      <w:r>
        <w:t>1. Introdução</w:t>
      </w:r>
    </w:p>
    <w:p>
      <w:pPr>
        <w:pStyle w:val="ScriptoriumBody"/>
      </w:pPr>
      <w:r>
        <w:t>A integração da inteligência artificial nos ambientes de aprendizagem universitária deixou de ser uma novidade experimental e tornou-se uma prática acadêmica cotidiana. Estudantes utilizam sistemas conversacionais, plataformas adaptativas e ferramentas generativas para explorar conceitos, resumir leituras, receber feedback e preparar avaliações. Essas práticas ampliam o acesso ao apoio acadêmico, mas também levantam questões sobre aprendizagem profunda, dependência tecnológica e qualidade dos processos cognitivos.</w:t>
      </w:r>
    </w:p>
    <w:p>
      <w:pPr>
        <w:pStyle w:val="Heading2"/>
      </w:pPr>
      <w:r>
        <w:t>2. Fundamentação teórica</w:t>
      </w:r>
    </w:p>
    <w:p>
      <w:pPr>
        <w:pStyle w:val="ScriptoriumBody"/>
      </w:pPr>
      <w:r>
        <w:t>A pesquisa sobre aprendizagem autorregulada enfatiza que os estudantes aprendem de forma mais eficaz quando monitoram a compreensão, estabelecem metas, selecionam estratégias e ajustam o comportamento após receber feedback. Do ponto de vista cognitivo, a qualidade da interação é mais importante que a simples exposição. Prompts reflexivos, como comparar duas explicações ou identificar a suposição mais frágil, podem ativar processos metacognitivos e evitar o processamento superficial.</w:t>
      </w:r>
    </w:p>
    <w:p>
      <w:pPr>
        <w:pStyle w:val="Heading2"/>
      </w:pPr>
      <w:r>
        <w:t>3. Método</w:t>
      </w:r>
    </w:p>
    <w:p>
      <w:pPr>
        <w:pStyle w:val="ScriptoriumBody"/>
      </w:pPr>
      <w:r>
        <w:t>Foi elaborada uma simulação quase experimental para modelar duas condições instrucionais. O grupo com aprendizagem assistida por IA utilizou uma interface de tutoria estruturada integrada a um módulo de metodologia de pesquisa de seis semanas. O grupo de comparação recebeu os mesmos materiais, questionários e tarefas, mas sem acesso ao tutor de IA. A amostra simulada incluiu 186 estudantes universitários entre 18 e 27 anos. As medidas incluíram um inventário de flexibilidade cognitiva, um índice de aprendizagem autorregulada, questionários semanais e uma avaliação aplicada final.</w:t>
      </w:r>
    </w:p>
    <w:p>
      <w:pPr>
        <w:pStyle w:val="Heading2"/>
      </w:pPr>
      <w:r>
        <w:t>4. Resultados</w:t>
      </w:r>
    </w:p>
    <w:p>
      <w:pPr>
        <w:pStyle w:val="ScriptoriumBody"/>
      </w:pPr>
      <w:r>
        <w:t>Os resultados simulados mostraram aumento moderado nas pontuações de flexibilidade cognitiva no grupo assistido por IA entre o pré-teste e o pós-teste. O grupo de comparação também melhorou, porém com menor magnitude. As pontuações da avaliação final foram mais altas no grupo assistido por IA, especialmente entre estudantes que usaram prompts reflexivos com frequência. Um modelo de regressão hierárquica indicou que a frequência de prompts reflexivos e a média dos questionários semanais foram preditores mais fortes do que o tempo total de uso da ferramenta.</w:t>
      </w:r>
    </w:p>
    <w:p>
      <w:pPr>
        <w:pStyle w:val="Heading2"/>
      </w:pPr>
      <w:r>
        <w:t>5. Discussão</w:t>
      </w:r>
    </w:p>
    <w:p>
      <w:pPr>
        <w:pStyle w:val="ScriptoriumBody"/>
      </w:pPr>
      <w:r>
        <w:t>Os achados simulados sustentam uma interpretação matizada da aprendizagem assistida por IA. O acesso a um sistema de IA esteve associado a maior flexibilidade cognitiva e melhor desempenho acadêmico apenas quando a ferramenta foi usada de maneira reflexiva. Assim, instituições devem avaliar a qualidade da interação, e não somente a frequência de uso. Para a tradução acadêmica, termos como interação estruturada, andaime pedagógico, processamento superficial e esforço produtivo exigem equivalentes conceituais consistentes.</w:t>
      </w:r>
    </w:p>
    <w:p>
      <w:pPr>
        <w:pStyle w:val="Heading2"/>
      </w:pPr>
      <w:r>
        <w:t>6. Limitações</w:t>
      </w:r>
    </w:p>
    <w:p>
      <w:pPr>
        <w:pStyle w:val="ScriptoriumBody"/>
      </w:pPr>
      <w:r>
        <w:t>Este artigo é um documento fictício de demonstração. A amostra, os instrumentos, os dados e as análises foram inventados para fins de portfólio e não devem ser citados como evidência empírica. Em um estudo real, seriam necessários procedimentos de amostragem, instrumentos validados, revisão ética e análises estatísticas completas.</w:t>
      </w:r>
    </w:p>
    <w:p>
      <w:pPr>
        <w:pStyle w:val="Heading2"/>
      </w:pPr>
      <w:r>
        <w:t>7. Conclusão</w:t>
      </w:r>
    </w:p>
    <w:p>
      <w:pPr>
        <w:pStyle w:val="ScriptoriumBody"/>
      </w:pPr>
      <w:r>
        <w:t>A aprendizagem assistida por IA tem potencial para apoiar a flexibilidade cognitiva e o desempenho acadêmico quando integrada a rotinas pedagógicas reflexivas. A evidência simulada apresentada aqui sugere que o valor educacional da IA depende menos do acesso técnico e mais da estrutura metacognitiva que orienta seu uso.</w:t>
      </w:r>
    </w:p>
    <w:p>
      <w:pPr>
        <w:pStyle w:val="Heading2"/>
      </w:pPr>
      <w:r>
        <w:t>Agradecimento</w:t>
      </w:r>
    </w:p>
    <w:p>
      <w:pPr>
        <w:pStyle w:val="ScriptoriumBody"/>
      </w:pPr>
      <w:r>
        <w:t>Este manuscrito é um documento fictício original criado pela Scriptorium para o desenvolvimento de portfólio de tradução. Não está associado a nenhuma revista, universidade, projeto de pesquisa ou participante real.</w:t>
      </w:r>
    </w:p>
    <w:p>
      <w:pPr>
        <w:pStyle w:val="Heading2"/>
      </w:pPr>
      <w:r>
        <w:t>Terminology sample</w:t>
      </w:r>
    </w:p>
    <w:tbl>
      <w:tblPr>
        <w:tblStyle w:val="TableGrid"/>
        <w:tblW w:type="auto" w:w="0"/>
        <w:jc w:val="center"/>
        <w:tblLook w:firstColumn="1" w:firstRow="1" w:lastColumn="0" w:lastRow="0" w:noHBand="0" w:noVBand="1" w:val="04A0"/>
      </w:tblPr>
      <w:tblGrid>
        <w:gridCol w:w="4946"/>
        <w:gridCol w:w="4946"/>
      </w:tblGrid>
      <w:tr>
        <w:tc>
          <w:tcPr>
            <w:tcW w:type="dxa" w:w="4946"/>
            <w:shd w:fill="14223E"/>
          </w:tcPr>
          <w:p>
            <w:r>
              <w:rPr>
                <w:b/>
                <w:color w:val="FFFFFF"/>
              </w:rPr>
              <w:t>English source term</w:t>
            </w:r>
          </w:p>
        </w:tc>
        <w:tc>
          <w:tcPr>
            <w:tcW w:type="dxa" w:w="4946"/>
            <w:shd w:fill="14223E"/>
          </w:tcPr>
          <w:p>
            <w:r>
              <w:rPr>
                <w:b/>
                <w:color w:val="FFFFFF"/>
              </w:rPr>
              <w:t>Portuguese rendering</w:t>
            </w:r>
          </w:p>
        </w:tc>
      </w:tr>
      <w:tr>
        <w:tc>
          <w:tcPr>
            <w:tcW w:type="dxa" w:w="4946"/>
          </w:tcPr>
          <w:p>
            <w:r>
              <w:t>Cognitive flexibility</w:t>
            </w:r>
          </w:p>
        </w:tc>
        <w:tc>
          <w:tcPr>
            <w:tcW w:type="dxa" w:w="4946"/>
          </w:tcPr>
          <w:p>
            <w:r>
              <w:t>flexibilidade cognitiva</w:t>
            </w:r>
          </w:p>
        </w:tc>
      </w:tr>
      <w:tr>
        <w:tc>
          <w:tcPr>
            <w:tcW w:type="dxa" w:w="4946"/>
          </w:tcPr>
          <w:p>
            <w:r>
              <w:t>Self-regulated learning</w:t>
            </w:r>
          </w:p>
        </w:tc>
        <w:tc>
          <w:tcPr>
            <w:tcW w:type="dxa" w:w="4946"/>
          </w:tcPr>
          <w:p>
            <w:r>
              <w:t>aprendizagem autorregulada</w:t>
            </w:r>
          </w:p>
        </w:tc>
      </w:tr>
      <w:tr>
        <w:tc>
          <w:tcPr>
            <w:tcW w:type="dxa" w:w="4946"/>
          </w:tcPr>
          <w:p>
            <w:r>
              <w:t>Reflective prompting</w:t>
            </w:r>
          </w:p>
        </w:tc>
        <w:tc>
          <w:tcPr>
            <w:tcW w:type="dxa" w:w="4946"/>
          </w:tcPr>
          <w:p>
            <w:r>
              <w:t>prompts reflexivos</w:t>
            </w:r>
          </w:p>
        </w:tc>
      </w:tr>
      <w:tr>
        <w:tc>
          <w:tcPr>
            <w:tcW w:type="dxa" w:w="4946"/>
          </w:tcPr>
          <w:p>
            <w:r>
              <w:t>Productive struggle</w:t>
            </w:r>
          </w:p>
        </w:tc>
        <w:tc>
          <w:tcPr>
            <w:tcW w:type="dxa" w:w="4946"/>
          </w:tcPr>
          <w:p>
            <w:r>
              <w:t>esforço produtivo</w:t>
            </w:r>
          </w:p>
        </w:tc>
      </w:tr>
      <w:tr>
        <w:tc>
          <w:tcPr>
            <w:tcW w:type="dxa" w:w="4946"/>
          </w:tcPr>
          <w:p>
            <w:r>
              <w:t>Shallow processing</w:t>
            </w:r>
          </w:p>
        </w:tc>
        <w:tc>
          <w:tcPr>
            <w:tcW w:type="dxa" w:w="4946"/>
          </w:tcPr>
          <w:p>
            <w:r>
              <w:t>processamento superficial</w:t>
            </w:r>
          </w:p>
        </w:tc>
      </w:tr>
      <w:tr>
        <w:tc>
          <w:tcPr>
            <w:tcW w:type="dxa" w:w="4946"/>
          </w:tcPr>
          <w:p>
            <w:r>
              <w:t>Scaffolding</w:t>
            </w:r>
          </w:p>
        </w:tc>
        <w:tc>
          <w:tcPr>
            <w:tcW w:type="dxa" w:w="4946"/>
          </w:tcPr>
          <w:p>
            <w:r>
              <w:t>andaime / apoio pedagógico</w:t>
            </w:r>
          </w:p>
        </w:tc>
      </w:tr>
      <w:tr>
        <w:tc>
          <w:tcPr>
            <w:tcW w:type="dxa" w:w="4946"/>
          </w:tcPr>
          <w:p>
            <w:r>
              <w:t>Hierarchical regression</w:t>
            </w:r>
          </w:p>
        </w:tc>
        <w:tc>
          <w:tcPr>
            <w:tcW w:type="dxa" w:w="4946"/>
          </w:tcPr>
          <w:p>
            <w:r>
              <w:t>regressão hierárquica</w:t>
            </w:r>
          </w:p>
        </w:tc>
      </w:tr>
      <w:tr>
        <w:tc>
          <w:tcPr>
            <w:tcW w:type="dxa" w:w="4946"/>
          </w:tcPr>
          <w:p>
            <w:r>
              <w:t>Final applied assessment</w:t>
            </w:r>
          </w:p>
        </w:tc>
        <w:tc>
          <w:tcPr>
            <w:tcW w:type="dxa" w:w="4946"/>
          </w:tcPr>
          <w:p>
            <w:r>
              <w:t>avaliação aplicada final</w:t>
            </w:r>
          </w:p>
        </w:tc>
      </w:tr>
    </w:tbl>
    <w:p>
      <w:pPr>
        <w:pStyle w:val="ScriptoriumNote"/>
      </w:pPr>
      <w:r>
        <w:rPr>
          <w:b/>
        </w:rPr>
        <w:t xml:space="preserve">Quality-control note: </w:t>
      </w:r>
      <w:r>
        <w:t>Academic register, terminology consistency, fictional-status disclosure, and document formatting were preserved for portfolio demonstration purposes.</w:t>
      </w:r>
    </w:p>
    <w:p>
      <w:r>
        <w:br w:type="page"/>
      </w:r>
    </w:p>
    <w:p>
      <w:pPr>
        <w:jc w:val="left"/>
      </w:pPr>
      <w:r>
        <w:rPr>
          <w:rFonts w:ascii="Liberation Sans" w:hAnsi="Liberation Sans"/>
          <w:b/>
          <w:color w:val="D1AA49"/>
          <w:sz w:val="36"/>
        </w:rPr>
        <w:t>ITALIANO TRANSLATION</w:t>
      </w:r>
    </w:p>
    <w:p>
      <w:pPr>
        <w:pStyle w:val="ScriptoriumNote"/>
      </w:pPr>
      <w:r>
        <w:t>Language direction: English → Italian | Sample type: Academic research article translation | Field: educational psychology and cognitive science</w:t>
      </w:r>
    </w:p>
    <w:p>
      <w:pPr>
        <w:pStyle w:val="Heading1"/>
      </w:pPr>
      <w:r>
        <w:t>L’influenza dell’apprendimento assistito dall’intelligenza artificiale sulla flessibilità cognitiva e sul rendimento accademico degli studenti universitari</w:t>
      </w:r>
    </w:p>
    <w:p>
      <w:pPr>
        <w:pStyle w:val="Heading2"/>
      </w:pPr>
      <w:r>
        <w:t>Abstract</w:t>
      </w:r>
    </w:p>
    <w:p>
      <w:pPr>
        <w:pStyle w:val="ScriptoriumBody"/>
      </w:pPr>
      <w:r>
        <w:t>I sistemi di apprendimento assistiti dall’intelligenza artificiale sono sempre più utilizzati nell’istruzione superiore; tuttavia, i loro effetti cognitivi non sono ancora pienamente compresi. Questo studio dimostrativo fittizio esamina se l’interazione strutturata con un’interfaccia di tutoraggio basata sull’IA sia associata a cambiamenti nella flessibilità cognitiva, nell’apprendimento autoregolato e nel rendimento accademico degli studenti universitari. È stata progettata una simulazione quasi sperimentale con 186 partecipanti distribuiti in due condizioni didattiche. I risultati simulati suggeriscono che l’interazione riflessiva con strumenti di IA può sostenere la flessibilità cognitiva quando è integrata in routine pedagogiche esplicite, ma non quando viene usata soltanto come meccanismo di risposta rapida. Il documento è stato creato come campione originale per dimostrare traduzione accademica, gestione terminologica e conservazione del formato.</w:t>
      </w:r>
    </w:p>
    <w:p>
      <w:pPr>
        <w:pStyle w:val="Heading2"/>
      </w:pPr>
      <w:r>
        <w:t>Keywords / Palabras clave / Schlüsselwörter</w:t>
      </w:r>
    </w:p>
    <w:p>
      <w:pPr>
        <w:pStyle w:val="ScriptoriumBody"/>
      </w:pPr>
      <w:r>
        <w:t>intelligenza artificiale; flessibilità cognitiva; apprendimento autoregolato; rendimento accademico; istruzione superiore; psicologia dell’educazione</w:t>
      </w:r>
    </w:p>
    <w:p>
      <w:pPr>
        <w:pStyle w:val="Heading2"/>
      </w:pPr>
      <w:r>
        <w:t>1. Introduzione</w:t>
      </w:r>
    </w:p>
    <w:p>
      <w:pPr>
        <w:pStyle w:val="ScriptoriumBody"/>
      </w:pPr>
      <w:r>
        <w:t>L’integrazione dell’intelligenza artificiale negli ambienti universitari è passata da novità sperimentale a pratica accademica ordinaria. Gli studenti utilizzano sistemi conversazionali, piattaforme adattive e strumenti generativi per esplorare concetti, riassumere letture, ricevere feedback e preparare valutazioni. Queste pratiche ampliano l’accesso al supporto accademico, ma sollevano domande sull’apprendimento profondo, sulla dipendenza tecnologica e sulla qualità dei processi cognitivi.</w:t>
      </w:r>
    </w:p>
    <w:p>
      <w:pPr>
        <w:pStyle w:val="Heading2"/>
      </w:pPr>
      <w:r>
        <w:t>2. Quadro teorico</w:t>
      </w:r>
    </w:p>
    <w:p>
      <w:pPr>
        <w:pStyle w:val="ScriptoriumBody"/>
      </w:pPr>
      <w:r>
        <w:t>La ricerca sull’apprendimento autoregolato sottolinea che gli studenti apprendono in modo più efficace quando monitorano la comprensione, definiscono obiettivi, selezionano strategie e adattano il comportamento dopo il feedback. Da una prospettiva cognitiva, la qualità dell’interazione conta più della sola esposizione. Prompt riflessivi, come confrontare due spiegazioni o identificare l’ipotesi più debole, possono attivare processi metacognitivi ed evitare un’elaborazione superficiale.</w:t>
      </w:r>
    </w:p>
    <w:p>
      <w:pPr>
        <w:pStyle w:val="Heading2"/>
      </w:pPr>
      <w:r>
        <w:t>3. Metodo</w:t>
      </w:r>
    </w:p>
    <w:p>
      <w:pPr>
        <w:pStyle w:val="ScriptoriumBody"/>
      </w:pPr>
      <w:r>
        <w:t>È stata progettata una simulazione quasi sperimentale per modellare due condizioni didattiche. Il gruppo assistito dall’IA ha utilizzato un’interfaccia di tutoraggio strutturata integrata in un modulo di metodologia della ricerca di sei settimane. Il gruppo di confronto ha ricevuto gli stessi materiali, quiz e compiti, ma senza accesso al tutor IA. Il campione simulato comprendeva 186 studenti universitari di età compresa tra 18 e 27 anni. Le misure includevano un inventario di flessibilità cognitiva, un indice di apprendimento autoregolato, sei quiz settimanali e una valutazione applicata finale.</w:t>
      </w:r>
    </w:p>
    <w:p>
      <w:pPr>
        <w:pStyle w:val="Heading2"/>
      </w:pPr>
      <w:r>
        <w:t>4. Risultati</w:t>
      </w:r>
    </w:p>
    <w:p>
      <w:pPr>
        <w:pStyle w:val="ScriptoriumBody"/>
      </w:pPr>
      <w:r>
        <w:t>I risultati simulati hanno mostrato un aumento moderato dei punteggi di flessibilità cognitiva nel gruppo assistito dall’IA dal pretest al post-test. Anche il gruppo di confronto è migliorato, ma con una variazione minore. I punteggi della valutazione finale erano più alti nel gruppo assistito dall’IA, soprattutto tra gli studenti che utilizzavano frequentemente prompt riflessivi. Un modello di regressione gerarchica ha indicato che la frequenza dei prompt riflessivi e la media dei quiz settimanali erano predittori più forti del tempo totale di utilizzo dello strumento.</w:t>
      </w:r>
    </w:p>
    <w:p>
      <w:pPr>
        <w:pStyle w:val="Heading2"/>
      </w:pPr>
      <w:r>
        <w:t>5. Discussione</w:t>
      </w:r>
    </w:p>
    <w:p>
      <w:pPr>
        <w:pStyle w:val="ScriptoriumBody"/>
      </w:pPr>
      <w:r>
        <w:t>I risultati simulati sostengono un’interpretazione sfumata dell’apprendimento assistito dall’IA. L’accesso a un sistema di IA era associato a maggiore flessibilità cognitiva e rendimento accademico solo quando lo strumento veniva usato in modo riflessivo. Le istituzioni dovrebbero quindi valutare la qualità dell’interazione, non soltanto la frequenza d’uso. Per la traduzione accademica, termini come interazione strutturata, scaffolding, elaborazione superficiale e sforzo produttivo richiedono equivalenti concettuali stabili.</w:t>
      </w:r>
    </w:p>
    <w:p>
      <w:pPr>
        <w:pStyle w:val="Heading2"/>
      </w:pPr>
      <w:r>
        <w:t>6. Limiti</w:t>
      </w:r>
    </w:p>
    <w:p>
      <w:pPr>
        <w:pStyle w:val="ScriptoriumBody"/>
      </w:pPr>
      <w:r>
        <w:t>Questo articolo è un documento dimostrativo fittizio. Campione, strumenti, dati e analisi sono stati inventati per finalità di portfolio e non devono essere citati come evidenza empirica. In uno studio reale sarebbero necessari procedure di campionamento, strumenti validati, revisione etica e analisi statistiche complete.</w:t>
      </w:r>
    </w:p>
    <w:p>
      <w:pPr>
        <w:pStyle w:val="Heading2"/>
      </w:pPr>
      <w:r>
        <w:t>7. Conclusione</w:t>
      </w:r>
    </w:p>
    <w:p>
      <w:pPr>
        <w:pStyle w:val="ScriptoriumBody"/>
      </w:pPr>
      <w:r>
        <w:t>L’apprendimento assistito dall’IA ha il potenziale di sostenere la flessibilità cognitiva e il rendimento accademico quando è inserito in routine pedagogiche riflessive. L’evidenza simulata presentata qui suggerisce che il valore educativo dell’IA dipende meno dall’accesso tecnico e più dalla struttura metacognitiva che ne guida l’uso.</w:t>
      </w:r>
    </w:p>
    <w:p>
      <w:pPr>
        <w:pStyle w:val="Heading2"/>
      </w:pPr>
      <w:r>
        <w:t>Ringraziamenti</w:t>
      </w:r>
    </w:p>
    <w:p>
      <w:pPr>
        <w:pStyle w:val="ScriptoriumBody"/>
      </w:pPr>
      <w:r>
        <w:t>Questo manoscritto è un documento fittizio originale creato da Scriptorium per lo sviluppo di un portfolio di traduzione. Non è associato ad alcuna rivista, università, progetto di ricerca o partecipante reale.</w:t>
      </w:r>
    </w:p>
    <w:p>
      <w:pPr>
        <w:pStyle w:val="Heading2"/>
      </w:pPr>
      <w:r>
        <w:t>Terminology sample</w:t>
      </w:r>
    </w:p>
    <w:tbl>
      <w:tblPr>
        <w:tblStyle w:val="TableGrid"/>
        <w:tblW w:type="auto" w:w="0"/>
        <w:jc w:val="center"/>
        <w:tblLook w:firstColumn="1" w:firstRow="1" w:lastColumn="0" w:lastRow="0" w:noHBand="0" w:noVBand="1" w:val="04A0"/>
      </w:tblPr>
      <w:tblGrid>
        <w:gridCol w:w="4946"/>
        <w:gridCol w:w="4946"/>
      </w:tblGrid>
      <w:tr>
        <w:tc>
          <w:tcPr>
            <w:tcW w:type="dxa" w:w="4946"/>
            <w:shd w:fill="14223E"/>
          </w:tcPr>
          <w:p>
            <w:r>
              <w:rPr>
                <w:b/>
                <w:color w:val="FFFFFF"/>
              </w:rPr>
              <w:t>English source term</w:t>
            </w:r>
          </w:p>
        </w:tc>
        <w:tc>
          <w:tcPr>
            <w:tcW w:type="dxa" w:w="4946"/>
            <w:shd w:fill="14223E"/>
          </w:tcPr>
          <w:p>
            <w:r>
              <w:rPr>
                <w:b/>
                <w:color w:val="FFFFFF"/>
              </w:rPr>
              <w:t>Italian rendering</w:t>
            </w:r>
          </w:p>
        </w:tc>
      </w:tr>
      <w:tr>
        <w:tc>
          <w:tcPr>
            <w:tcW w:type="dxa" w:w="4946"/>
          </w:tcPr>
          <w:p>
            <w:r>
              <w:t>Cognitive flexibility</w:t>
            </w:r>
          </w:p>
        </w:tc>
        <w:tc>
          <w:tcPr>
            <w:tcW w:type="dxa" w:w="4946"/>
          </w:tcPr>
          <w:p>
            <w:r>
              <w:t>flessibilità cognitiva</w:t>
            </w:r>
          </w:p>
        </w:tc>
      </w:tr>
      <w:tr>
        <w:tc>
          <w:tcPr>
            <w:tcW w:type="dxa" w:w="4946"/>
          </w:tcPr>
          <w:p>
            <w:r>
              <w:t>Self-regulated learning</w:t>
            </w:r>
          </w:p>
        </w:tc>
        <w:tc>
          <w:tcPr>
            <w:tcW w:type="dxa" w:w="4946"/>
          </w:tcPr>
          <w:p>
            <w:r>
              <w:t>apprendimento autoregolato</w:t>
            </w:r>
          </w:p>
        </w:tc>
      </w:tr>
      <w:tr>
        <w:tc>
          <w:tcPr>
            <w:tcW w:type="dxa" w:w="4946"/>
          </w:tcPr>
          <w:p>
            <w:r>
              <w:t>Reflective prompting</w:t>
            </w:r>
          </w:p>
        </w:tc>
        <w:tc>
          <w:tcPr>
            <w:tcW w:type="dxa" w:w="4946"/>
          </w:tcPr>
          <w:p>
            <w:r>
              <w:t>prompt riflessivi</w:t>
            </w:r>
          </w:p>
        </w:tc>
      </w:tr>
      <w:tr>
        <w:tc>
          <w:tcPr>
            <w:tcW w:type="dxa" w:w="4946"/>
          </w:tcPr>
          <w:p>
            <w:r>
              <w:t>Productive struggle</w:t>
            </w:r>
          </w:p>
        </w:tc>
        <w:tc>
          <w:tcPr>
            <w:tcW w:type="dxa" w:w="4946"/>
          </w:tcPr>
          <w:p>
            <w:r>
              <w:t>sforzo produttivo</w:t>
            </w:r>
          </w:p>
        </w:tc>
      </w:tr>
      <w:tr>
        <w:tc>
          <w:tcPr>
            <w:tcW w:type="dxa" w:w="4946"/>
          </w:tcPr>
          <w:p>
            <w:r>
              <w:t>Shallow processing</w:t>
            </w:r>
          </w:p>
        </w:tc>
        <w:tc>
          <w:tcPr>
            <w:tcW w:type="dxa" w:w="4946"/>
          </w:tcPr>
          <w:p>
            <w:r>
              <w:t>elaborazione superficiale</w:t>
            </w:r>
          </w:p>
        </w:tc>
      </w:tr>
      <w:tr>
        <w:tc>
          <w:tcPr>
            <w:tcW w:type="dxa" w:w="4946"/>
          </w:tcPr>
          <w:p>
            <w:r>
              <w:t>Scaffolding</w:t>
            </w:r>
          </w:p>
        </w:tc>
        <w:tc>
          <w:tcPr>
            <w:tcW w:type="dxa" w:w="4946"/>
          </w:tcPr>
          <w:p>
            <w:r>
              <w:t>scaffolding / supporto didattico</w:t>
            </w:r>
          </w:p>
        </w:tc>
      </w:tr>
      <w:tr>
        <w:tc>
          <w:tcPr>
            <w:tcW w:type="dxa" w:w="4946"/>
          </w:tcPr>
          <w:p>
            <w:r>
              <w:t>Hierarchical regression</w:t>
            </w:r>
          </w:p>
        </w:tc>
        <w:tc>
          <w:tcPr>
            <w:tcW w:type="dxa" w:w="4946"/>
          </w:tcPr>
          <w:p>
            <w:r>
              <w:t>regressione gerarchica</w:t>
            </w:r>
          </w:p>
        </w:tc>
      </w:tr>
      <w:tr>
        <w:tc>
          <w:tcPr>
            <w:tcW w:type="dxa" w:w="4946"/>
          </w:tcPr>
          <w:p>
            <w:r>
              <w:t>Final applied assessment</w:t>
            </w:r>
          </w:p>
        </w:tc>
        <w:tc>
          <w:tcPr>
            <w:tcW w:type="dxa" w:w="4946"/>
          </w:tcPr>
          <w:p>
            <w:r>
              <w:t>valutazione applicata finale</w:t>
            </w:r>
          </w:p>
        </w:tc>
      </w:tr>
    </w:tbl>
    <w:p>
      <w:pPr>
        <w:pStyle w:val="ScriptoriumNote"/>
      </w:pPr>
      <w:r>
        <w:rPr>
          <w:b/>
        </w:rPr>
        <w:t xml:space="preserve">Quality-control note: </w:t>
      </w:r>
      <w:r>
        <w:t>Academic register, terminology consistency, fictional-status disclosure, and document formatting were preserved for portfolio demonstration purposes.</w:t>
      </w:r>
    </w:p>
    <w:p>
      <w:r>
        <w:br w:type="page"/>
      </w:r>
    </w:p>
    <w:p>
      <w:pPr>
        <w:jc w:val="left"/>
      </w:pPr>
      <w:r>
        <w:rPr>
          <w:rFonts w:ascii="Liberation Sans" w:hAnsi="Liberation Sans"/>
          <w:b/>
          <w:color w:val="D1AA49"/>
          <w:sz w:val="36"/>
        </w:rPr>
        <w:t>РУССКИЙ TRANSLATION</w:t>
      </w:r>
    </w:p>
    <w:p>
      <w:pPr>
        <w:pStyle w:val="ScriptoriumNote"/>
      </w:pPr>
      <w:r>
        <w:t>Language direction: English → Russian | Sample type: Academic research article translation | Field: educational psychology and cognitive science</w:t>
      </w:r>
    </w:p>
    <w:p>
      <w:pPr>
        <w:pStyle w:val="Heading1"/>
      </w:pPr>
      <w:r>
        <w:t>Влияние обучения с поддержкой искусственного интеллекта на когнитивную гибкость и академическую успеваемость студентов университета</w:t>
      </w:r>
    </w:p>
    <w:p>
      <w:pPr>
        <w:pStyle w:val="Heading2"/>
      </w:pPr>
      <w:r>
        <w:t>Abstract</w:t>
      </w:r>
    </w:p>
    <w:p>
      <w:pPr>
        <w:pStyle w:val="ScriptoriumBody"/>
      </w:pPr>
      <w:r>
        <w:t>Системы обучения с поддержкой искусственного интеллекта все чаще используются в высшем образовании, однако их когнитивные эффекты остаются изученными не полностью. Настоящее вымышленное демонстрационное исследование рассматривает, связана ли структурированная работа с интерфейсом ИИ-тьютора с изменениями когнитивной гибкости, саморегулируемого обучения и академической успеваемости студентов. Была смоделирована квазиэкспериментальная схема с 186 участниками, распределенными по двум учебным условиям. Смоделированные результаты показывают, что рефлексивное взаимодействие с инструментами ИИ может поддерживать когнитивную гибкость, когда оно встроено в явные педагогические процедуры, но не тогда, когда используется только как механизм быстрого получения ответов. Документ создан как оригинальный образец для демонстрации академического перевода, терминологического контроля и сохранения форматирования.</w:t>
      </w:r>
    </w:p>
    <w:p>
      <w:pPr>
        <w:pStyle w:val="Heading2"/>
      </w:pPr>
      <w:r>
        <w:t>Keywords / Palabras clave / Schlüsselwörter</w:t>
      </w:r>
    </w:p>
    <w:p>
      <w:pPr>
        <w:pStyle w:val="ScriptoriumBody"/>
      </w:pPr>
      <w:r>
        <w:t>искусственный интеллект; когнитивная гибкость; саморегулируемое обучение; академическая успеваемость; высшее образование; педагогическая психология</w:t>
      </w:r>
    </w:p>
    <w:p>
      <w:pPr>
        <w:pStyle w:val="Heading2"/>
      </w:pPr>
      <w:r>
        <w:t>1. Введение</w:t>
      </w:r>
    </w:p>
    <w:p>
      <w:pPr>
        <w:pStyle w:val="ScriptoriumBody"/>
      </w:pPr>
      <w:r>
        <w:t>Интеграция искусственного интеллекта в университетские образовательные среды перешла от экспериментальной новизны к повседневной академической практике. Студенты используют диалоговые системы, адаптивные платформы и генеративные инструменты для изучения понятий, резюмирования текстов, получения обратной связи и подготовки к оцениванию. Эти практики расширяют доступ к академической поддержке, но одновременно поднимают вопросы о глубоком обучении, технологической зависимости и качестве когнитивных процессов.</w:t>
      </w:r>
    </w:p>
    <w:p>
      <w:pPr>
        <w:pStyle w:val="Heading2"/>
      </w:pPr>
      <w:r>
        <w:t>2. Теоретические основания</w:t>
      </w:r>
    </w:p>
    <w:p>
      <w:pPr>
        <w:pStyle w:val="ScriptoriumBody"/>
      </w:pPr>
      <w:r>
        <w:t>Исследования саморегулируемого обучения подчеркивают, что студенты учатся эффективнее, когда отслеживают понимание, ставят цели, выбирают стратегии и корректируют поведение после обратной связи. С когнитивной точки зрения качество взаимодействия важнее одной лишь экспозиции. Рефлексивные подсказки, например сравнение двух объяснений или выявление слабого предположения, могут активировать метакогнитивные процессы и предотвращать поверхностную обработку информации.</w:t>
      </w:r>
    </w:p>
    <w:p>
      <w:pPr>
        <w:pStyle w:val="Heading2"/>
      </w:pPr>
      <w:r>
        <w:t>3. Метод</w:t>
      </w:r>
    </w:p>
    <w:p>
      <w:pPr>
        <w:pStyle w:val="ScriptoriumBody"/>
      </w:pPr>
      <w:r>
        <w:t>Была разработана квазиэкспериментальная симуляция для моделирования двух учебных условий. Группа с поддержкой ИИ использовала структурированный интерфейс тьюторинга, встроенный в шестинедельный модуль по методологии исследования. Контрольная группа получила те же материалы, тесты и задания, но без доступа к ИИ-тьютору. Смоделированная выборка включала 186 студентов в возрасте от 18 до 27 лет. Измерения включали опросник когнитивной гибкости, индекс саморегулируемого обучения, еженедельные тесты и итоговую прикладную оценку.</w:t>
      </w:r>
    </w:p>
    <w:p>
      <w:pPr>
        <w:pStyle w:val="Heading2"/>
      </w:pPr>
      <w:r>
        <w:t>4. Результаты</w:t>
      </w:r>
    </w:p>
    <w:p>
      <w:pPr>
        <w:pStyle w:val="ScriptoriumBody"/>
      </w:pPr>
      <w:r>
        <w:t>Смоделированные результаты показали умеренное повышение показателей когнитивной гибкости в группе с поддержкой ИИ от предтеста к посттесту. Группа сравнения также улучшилась, но в меньшей степени. Итоговые оценки были выше в группе с поддержкой ИИ, особенно у студентов, часто использовавших рефлексивные подсказки. Иерархическая регрессионная модель показала, что частота рефлексивных подсказок и средний балл еженедельных тестов были более сильными предикторами, чем общее время использования инструмента.</w:t>
      </w:r>
    </w:p>
    <w:p>
      <w:pPr>
        <w:pStyle w:val="Heading2"/>
      </w:pPr>
      <w:r>
        <w:t>5. Обсуждение</w:t>
      </w:r>
    </w:p>
    <w:p>
      <w:pPr>
        <w:pStyle w:val="ScriptoriumBody"/>
      </w:pPr>
      <w:r>
        <w:t>Смоделированные данные поддерживают более тонкое понимание обучения с поддержкой ИИ. Доступ к системе ИИ был связан с большей когнитивной гибкостью и более высокой академической успеваемостью только тогда, когда инструмент применялся рефлексивно. Поэтому образовательным учреждениям следует оценивать качество взаимодействия, а не только частоту использования. Для академического перевода такие термины, как структурированное взаимодействие, скаффолдинг, поверхностная обработка и продуктивное усилие, требуют устойчивых концептуальных соответствий.</w:t>
      </w:r>
    </w:p>
    <w:p>
      <w:pPr>
        <w:pStyle w:val="Heading2"/>
      </w:pPr>
      <w:r>
        <w:t>6. Ограничения</w:t>
      </w:r>
    </w:p>
    <w:p>
      <w:pPr>
        <w:pStyle w:val="ScriptoriumBody"/>
      </w:pPr>
      <w:r>
        <w:t>Данная статья является вымышленным демонстрационным документом. Выборка, инструменты, данные и анализы были созданы для целей портфолио и не должны цитироваться как эмпирическое доказательство. В реальном исследовании потребовались бы процедуры отбора выборки, валидированные инструменты, этическая экспертиза и полноценный статистический анализ.</w:t>
      </w:r>
    </w:p>
    <w:p>
      <w:pPr>
        <w:pStyle w:val="Heading2"/>
      </w:pPr>
      <w:r>
        <w:t>7. Заключение</w:t>
      </w:r>
    </w:p>
    <w:p>
      <w:pPr>
        <w:pStyle w:val="ScriptoriumBody"/>
      </w:pPr>
      <w:r>
        <w:t>Обучение с поддержкой ИИ может способствовать когнитивной гибкости и академической успеваемости, если оно встроено в рефлексивные педагогические процедуры. Представленные здесь смоделированные данные показывают, что образовательная ценность ИИ зависит меньше от технического доступа и больше от метакогнитивной структуры, направляющей его использование.</w:t>
      </w:r>
    </w:p>
    <w:p>
      <w:pPr>
        <w:pStyle w:val="Heading2"/>
      </w:pPr>
      <w:r>
        <w:t>Благодарность</w:t>
      </w:r>
    </w:p>
    <w:p>
      <w:pPr>
        <w:pStyle w:val="ScriptoriumBody"/>
      </w:pPr>
      <w:r>
        <w:t>Эта рукопись является оригинальным вымышленным документом, созданным Scriptorium для разработки переводческого портфолио. Она не связана ни с реальным журналом, ни с университетом, ни с исследовательским проектом, ни с участниками.</w:t>
      </w:r>
    </w:p>
    <w:p>
      <w:pPr>
        <w:pStyle w:val="Heading2"/>
      </w:pPr>
      <w:r>
        <w:t>Terminology sample</w:t>
      </w:r>
    </w:p>
    <w:tbl>
      <w:tblPr>
        <w:tblStyle w:val="TableGrid"/>
        <w:tblW w:type="auto" w:w="0"/>
        <w:jc w:val="center"/>
        <w:tblLook w:firstColumn="1" w:firstRow="1" w:lastColumn="0" w:lastRow="0" w:noHBand="0" w:noVBand="1" w:val="04A0"/>
      </w:tblPr>
      <w:tblGrid>
        <w:gridCol w:w="4946"/>
        <w:gridCol w:w="4946"/>
      </w:tblGrid>
      <w:tr>
        <w:tc>
          <w:tcPr>
            <w:tcW w:type="dxa" w:w="4946"/>
            <w:shd w:fill="14223E"/>
          </w:tcPr>
          <w:p>
            <w:r>
              <w:rPr>
                <w:b/>
                <w:color w:val="FFFFFF"/>
              </w:rPr>
              <w:t>English source term</w:t>
            </w:r>
          </w:p>
        </w:tc>
        <w:tc>
          <w:tcPr>
            <w:tcW w:type="dxa" w:w="4946"/>
            <w:shd w:fill="14223E"/>
          </w:tcPr>
          <w:p>
            <w:r>
              <w:rPr>
                <w:b/>
                <w:color w:val="FFFFFF"/>
              </w:rPr>
              <w:t>Russian rendering</w:t>
            </w:r>
          </w:p>
        </w:tc>
      </w:tr>
      <w:tr>
        <w:tc>
          <w:tcPr>
            <w:tcW w:type="dxa" w:w="4946"/>
          </w:tcPr>
          <w:p>
            <w:r>
              <w:t>Cognitive flexibility</w:t>
            </w:r>
          </w:p>
        </w:tc>
        <w:tc>
          <w:tcPr>
            <w:tcW w:type="dxa" w:w="4946"/>
          </w:tcPr>
          <w:p>
            <w:r>
              <w:t>когнитивная гибкость</w:t>
            </w:r>
          </w:p>
        </w:tc>
      </w:tr>
      <w:tr>
        <w:tc>
          <w:tcPr>
            <w:tcW w:type="dxa" w:w="4946"/>
          </w:tcPr>
          <w:p>
            <w:r>
              <w:t>Self-regulated learning</w:t>
            </w:r>
          </w:p>
        </w:tc>
        <w:tc>
          <w:tcPr>
            <w:tcW w:type="dxa" w:w="4946"/>
          </w:tcPr>
          <w:p>
            <w:r>
              <w:t>саморегулируемое обучение</w:t>
            </w:r>
          </w:p>
        </w:tc>
      </w:tr>
      <w:tr>
        <w:tc>
          <w:tcPr>
            <w:tcW w:type="dxa" w:w="4946"/>
          </w:tcPr>
          <w:p>
            <w:r>
              <w:t>Reflective prompting</w:t>
            </w:r>
          </w:p>
        </w:tc>
        <w:tc>
          <w:tcPr>
            <w:tcW w:type="dxa" w:w="4946"/>
          </w:tcPr>
          <w:p>
            <w:r>
              <w:t>рефлексивные подсказки</w:t>
            </w:r>
          </w:p>
        </w:tc>
      </w:tr>
      <w:tr>
        <w:tc>
          <w:tcPr>
            <w:tcW w:type="dxa" w:w="4946"/>
          </w:tcPr>
          <w:p>
            <w:r>
              <w:t>Productive struggle</w:t>
            </w:r>
          </w:p>
        </w:tc>
        <w:tc>
          <w:tcPr>
            <w:tcW w:type="dxa" w:w="4946"/>
          </w:tcPr>
          <w:p>
            <w:r>
              <w:t>продуктивное усилие</w:t>
            </w:r>
          </w:p>
        </w:tc>
      </w:tr>
      <w:tr>
        <w:tc>
          <w:tcPr>
            <w:tcW w:type="dxa" w:w="4946"/>
          </w:tcPr>
          <w:p>
            <w:r>
              <w:t>Shallow processing</w:t>
            </w:r>
          </w:p>
        </w:tc>
        <w:tc>
          <w:tcPr>
            <w:tcW w:type="dxa" w:w="4946"/>
          </w:tcPr>
          <w:p>
            <w:r>
              <w:t>поверхностная обработка</w:t>
            </w:r>
          </w:p>
        </w:tc>
      </w:tr>
      <w:tr>
        <w:tc>
          <w:tcPr>
            <w:tcW w:type="dxa" w:w="4946"/>
          </w:tcPr>
          <w:p>
            <w:r>
              <w:t>Scaffolding</w:t>
            </w:r>
          </w:p>
        </w:tc>
        <w:tc>
          <w:tcPr>
            <w:tcW w:type="dxa" w:w="4946"/>
          </w:tcPr>
          <w:p>
            <w:r>
              <w:t>скаффолдинг / педагогическая поддержка</w:t>
            </w:r>
          </w:p>
        </w:tc>
      </w:tr>
      <w:tr>
        <w:tc>
          <w:tcPr>
            <w:tcW w:type="dxa" w:w="4946"/>
          </w:tcPr>
          <w:p>
            <w:r>
              <w:t>Hierarchical regression</w:t>
            </w:r>
          </w:p>
        </w:tc>
        <w:tc>
          <w:tcPr>
            <w:tcW w:type="dxa" w:w="4946"/>
          </w:tcPr>
          <w:p>
            <w:r>
              <w:t>иерархическая регрессия</w:t>
            </w:r>
          </w:p>
        </w:tc>
      </w:tr>
      <w:tr>
        <w:tc>
          <w:tcPr>
            <w:tcW w:type="dxa" w:w="4946"/>
          </w:tcPr>
          <w:p>
            <w:r>
              <w:t>Final applied assessment</w:t>
            </w:r>
          </w:p>
        </w:tc>
        <w:tc>
          <w:tcPr>
            <w:tcW w:type="dxa" w:w="4946"/>
          </w:tcPr>
          <w:p>
            <w:r>
              <w:t>итоговая прикладная оценка</w:t>
            </w:r>
          </w:p>
        </w:tc>
      </w:tr>
    </w:tbl>
    <w:p>
      <w:pPr>
        <w:pStyle w:val="ScriptoriumNote"/>
      </w:pPr>
      <w:r>
        <w:rPr>
          <w:b/>
        </w:rPr>
        <w:t xml:space="preserve">Quality-control note: </w:t>
      </w:r>
      <w:r>
        <w:t>Academic register, terminology consistency, fictional-status disclosure, and document formatting were preserved for portfolio demonstration purposes.</w:t>
      </w:r>
    </w:p>
    <w:p>
      <w:r>
        <w:br w:type="page"/>
      </w:r>
    </w:p>
    <w:p>
      <w:pPr>
        <w:jc w:val="left"/>
      </w:pPr>
      <w:r>
        <w:rPr>
          <w:rFonts w:ascii="Liberation Sans" w:hAnsi="Liberation Sans"/>
          <w:b/>
          <w:color w:val="D1AA49"/>
          <w:sz w:val="36"/>
        </w:rPr>
        <w:t>ČEŠTINA TRANSLATION</w:t>
      </w:r>
    </w:p>
    <w:p>
      <w:pPr>
        <w:pStyle w:val="ScriptoriumNote"/>
      </w:pPr>
      <w:r>
        <w:t>Language direction: English → Czech | Sample type: Academic research article translation | Field: educational psychology and cognitive science</w:t>
      </w:r>
    </w:p>
    <w:p>
      <w:pPr>
        <w:pStyle w:val="Heading1"/>
      </w:pPr>
      <w:r>
        <w:t>Vliv učení podporovaného umělou inteligencí na kognitivní flexibilitu a akademický výkon vysokoškolských studentů</w:t>
      </w:r>
    </w:p>
    <w:p>
      <w:pPr>
        <w:pStyle w:val="Heading2"/>
      </w:pPr>
      <w:r>
        <w:t>Abstract</w:t>
      </w:r>
    </w:p>
    <w:p>
      <w:pPr>
        <w:pStyle w:val="ScriptoriumBody"/>
      </w:pPr>
      <w:r>
        <w:t>Systémy učení podporované umělou inteligencí se ve vysokoškolském vzdělávání používají stále častěji, jejich kognitivní účinky však nejsou dosud plně pochopeny. Tato fiktivní demonstrační studie zkoumá, zda strukturovaná interakce s rozhraním výukového tutora založeného na AI souvisí se změnami kognitivní flexibility, seberegulovaného učení a akademického výkonu vysokoškolských studentů. Byla navržena kvaziexperimentální simulace se 186 účastníky rozdělenými do dvou výukových podmínek. Simulované výsledky naznačují, že reflexivní interakce s nástroji AI může podporovat kognitivní flexibilitu, pokud je integrována do explicitních pedagogických rutin, nikoli však tehdy, když je využívána pouze jako mechanismus rychlé odpovědi. Dokument byl vytvořen jako původní ukázka pro demonstraci akademického překladu, terminologické kontroly a zachování formátu.</w:t>
      </w:r>
    </w:p>
    <w:p>
      <w:pPr>
        <w:pStyle w:val="Heading2"/>
      </w:pPr>
      <w:r>
        <w:t>Keywords / Palabras clave / Schlüsselwörter</w:t>
      </w:r>
    </w:p>
    <w:p>
      <w:pPr>
        <w:pStyle w:val="ScriptoriumBody"/>
      </w:pPr>
      <w:r>
        <w:t>umělá inteligence; kognitivní flexibilita; seberegulované učení; akademický výkon; vysokoškolské vzdělávání; pedagogická psychologie</w:t>
      </w:r>
    </w:p>
    <w:p>
      <w:pPr>
        <w:pStyle w:val="Heading2"/>
      </w:pPr>
      <w:r>
        <w:t>1. Úvod</w:t>
      </w:r>
    </w:p>
    <w:p>
      <w:pPr>
        <w:pStyle w:val="ScriptoriumBody"/>
      </w:pPr>
      <w:r>
        <w:t>Integrace umělé inteligence do univerzitních výukových prostředí se posunula od experimentální novinky k běžné akademické praxi. Studenti používají konverzační systémy, adaptivní platformy a generativní nástroje k prozkoumávání pojmů, shrnování textů, získávání zpětné vazby a přípravě na hodnocení. Tyto postupy rozšiřují přístup k akademické podpoře, zároveň však vyvolávají otázky týkající se hlubokého učení, technologické závislosti a kvality kognitivních procesů.</w:t>
      </w:r>
    </w:p>
    <w:p>
      <w:pPr>
        <w:pStyle w:val="Heading2"/>
      </w:pPr>
      <w:r>
        <w:t>2. Teoretické pozadí</w:t>
      </w:r>
    </w:p>
    <w:p>
      <w:pPr>
        <w:pStyle w:val="ScriptoriumBody"/>
      </w:pPr>
      <w:r>
        <w:t>Výzkum seberegulovaného učení zdůrazňuje, že studenti se učí efektivněji, když sledují vlastní porozumění, stanovují si cíle, volí strategie a upravují chování po obdržení zpětné vazby. Z kognitivního hlediska je kvalita interakce důležitější než samotná expozice. Reflexivní pobídky, například porovnání dvou vysvětlení nebo určení nejslabšího předpokladu, mohou aktivovat metakognitivní procesy a omezit povrchní zpracování informací.</w:t>
      </w:r>
    </w:p>
    <w:p>
      <w:pPr>
        <w:pStyle w:val="Heading2"/>
      </w:pPr>
      <w:r>
        <w:t>3. Metoda</w:t>
      </w:r>
    </w:p>
    <w:p>
      <w:pPr>
        <w:pStyle w:val="ScriptoriumBody"/>
      </w:pPr>
      <w:r>
        <w:t>Byla navržena kvaziexperimentální simulace modelující dvě výukové podmínky. Skupina s podporou AI používala strukturované tutorské rozhraní integrované do šestitýdenního modulu metodologie výzkumu. Srovnávací skupina obdržela stejné materiály, kvízy a úkoly, avšak bez přístupu k AI tutorovi. Simulovaný vzorek tvořilo 186 vysokoškolských studentů ve věku 18 až 27 let. Měření zahrnovala inventář kognitivní flexibility, index seberegulovaného učení, týdenní kvízy a závěrečné aplikované hodnocení.</w:t>
      </w:r>
    </w:p>
    <w:p>
      <w:pPr>
        <w:pStyle w:val="Heading2"/>
      </w:pPr>
      <w:r>
        <w:t>4. Výsledky</w:t>
      </w:r>
    </w:p>
    <w:p>
      <w:pPr>
        <w:pStyle w:val="ScriptoriumBody"/>
      </w:pPr>
      <w:r>
        <w:t>Simulované výsledky ukázaly mírné zvýšení skóre kognitivní flexibility ve skupině podporované AI mezi pretestem a posttestem. Srovnávací skupina se také zlepšila, avšak v menší míře. Skóre závěrečného hodnocení byla vyšší ve skupině podporované AI, zejména u studentů, kteří často používali reflexivní pobídky. Hierarchický regresní model ukázal, že frekvence reflexivních pobídek a průměr týdenních kvízů byly silnějšími prediktory než celkový čas používání nástroje.</w:t>
      </w:r>
    </w:p>
    <w:p>
      <w:pPr>
        <w:pStyle w:val="Heading2"/>
      </w:pPr>
      <w:r>
        <w:t>5. Diskuse</w:t>
      </w:r>
    </w:p>
    <w:p>
      <w:pPr>
        <w:pStyle w:val="ScriptoriumBody"/>
      </w:pPr>
      <w:r>
        <w:t>Simulovaná zjištění podporují nuancovanou interpretaci učení podporovaného AI. Přístup k systému AI byl spojen s vyšší kognitivní flexibilitou a lepším akademickým výkonem pouze tehdy, když byl nástroj používán reflexivně. Instituce by proto měly hodnotit kvalitu interakce, nikoli jen četnost používání. Pro akademický překlad vyžadují termíny jako strukturovaná interakce, scaffolding, povrchní zpracování a produktivní úsilí stabilní konceptuální ekvivalenty.</w:t>
      </w:r>
    </w:p>
    <w:p>
      <w:pPr>
        <w:pStyle w:val="Heading2"/>
      </w:pPr>
      <w:r>
        <w:t>6. Omezení</w:t>
      </w:r>
    </w:p>
    <w:p>
      <w:pPr>
        <w:pStyle w:val="ScriptoriumBody"/>
      </w:pPr>
      <w:r>
        <w:t>Tento článek je fiktivní demonstrační dokument. Vzorek, měřicí nástroje, data a analýzy byly vytvořeny pro účely portfolia a neměly by být citovány jako empirický důkaz. Ve skutečné studii by byly nezbytné postupy výběru vzorku, validované nástroje, etické posouzení a úplné statistické analýzy.</w:t>
      </w:r>
    </w:p>
    <w:p>
      <w:pPr>
        <w:pStyle w:val="Heading2"/>
      </w:pPr>
      <w:r>
        <w:t>7. Závěr</w:t>
      </w:r>
    </w:p>
    <w:p>
      <w:pPr>
        <w:pStyle w:val="ScriptoriumBody"/>
      </w:pPr>
      <w:r>
        <w:t>Učení podporované AI má potenciál podporovat kognitivní flexibilitu a akademický výkon, pokud je začleněno do reflexivních pedagogických rutin. Zde prezentované simulované důkazy naznačují, že vzdělávací hodnota AI závisí méně na technickém přístupu a více na metakognitivní struktuře, která její používání vede.</w:t>
      </w:r>
    </w:p>
    <w:p>
      <w:pPr>
        <w:pStyle w:val="Heading2"/>
      </w:pPr>
      <w:r>
        <w:t>Poděkování</w:t>
      </w:r>
    </w:p>
    <w:p>
      <w:pPr>
        <w:pStyle w:val="ScriptoriumBody"/>
      </w:pPr>
      <w:r>
        <w:t>Tento rukopis je původní fiktivní dokument vytvořený společností Scriptorium pro rozvoj překladatelského portfolia. Není spojen s žádným skutečným časopisem, univerzitou, výzkumným projektem ani účastníky.</w:t>
      </w:r>
    </w:p>
    <w:p>
      <w:pPr>
        <w:pStyle w:val="Heading2"/>
      </w:pPr>
      <w:r>
        <w:t>Terminology sample</w:t>
      </w:r>
    </w:p>
    <w:tbl>
      <w:tblPr>
        <w:tblStyle w:val="TableGrid"/>
        <w:tblW w:type="auto" w:w="0"/>
        <w:jc w:val="center"/>
        <w:tblLook w:firstColumn="1" w:firstRow="1" w:lastColumn="0" w:lastRow="0" w:noHBand="0" w:noVBand="1" w:val="04A0"/>
      </w:tblPr>
      <w:tblGrid>
        <w:gridCol w:w="4946"/>
        <w:gridCol w:w="4946"/>
      </w:tblGrid>
      <w:tr>
        <w:tc>
          <w:tcPr>
            <w:tcW w:type="dxa" w:w="4946"/>
            <w:shd w:fill="14223E"/>
          </w:tcPr>
          <w:p>
            <w:r>
              <w:rPr>
                <w:b/>
                <w:color w:val="FFFFFF"/>
              </w:rPr>
              <w:t>English source term</w:t>
            </w:r>
          </w:p>
        </w:tc>
        <w:tc>
          <w:tcPr>
            <w:tcW w:type="dxa" w:w="4946"/>
            <w:shd w:fill="14223E"/>
          </w:tcPr>
          <w:p>
            <w:r>
              <w:rPr>
                <w:b/>
                <w:color w:val="FFFFFF"/>
              </w:rPr>
              <w:t>Czech rendering</w:t>
            </w:r>
          </w:p>
        </w:tc>
      </w:tr>
      <w:tr>
        <w:tc>
          <w:tcPr>
            <w:tcW w:type="dxa" w:w="4946"/>
          </w:tcPr>
          <w:p>
            <w:r>
              <w:t>Cognitive flexibility</w:t>
            </w:r>
          </w:p>
        </w:tc>
        <w:tc>
          <w:tcPr>
            <w:tcW w:type="dxa" w:w="4946"/>
          </w:tcPr>
          <w:p>
            <w:r>
              <w:t>kognitivní flexibilita</w:t>
            </w:r>
          </w:p>
        </w:tc>
      </w:tr>
      <w:tr>
        <w:tc>
          <w:tcPr>
            <w:tcW w:type="dxa" w:w="4946"/>
          </w:tcPr>
          <w:p>
            <w:r>
              <w:t>Self-regulated learning</w:t>
            </w:r>
          </w:p>
        </w:tc>
        <w:tc>
          <w:tcPr>
            <w:tcW w:type="dxa" w:w="4946"/>
          </w:tcPr>
          <w:p>
            <w:r>
              <w:t>seberegulované učení</w:t>
            </w:r>
          </w:p>
        </w:tc>
      </w:tr>
      <w:tr>
        <w:tc>
          <w:tcPr>
            <w:tcW w:type="dxa" w:w="4946"/>
          </w:tcPr>
          <w:p>
            <w:r>
              <w:t>Reflective prompting</w:t>
            </w:r>
          </w:p>
        </w:tc>
        <w:tc>
          <w:tcPr>
            <w:tcW w:type="dxa" w:w="4946"/>
          </w:tcPr>
          <w:p>
            <w:r>
              <w:t>reflexivní pobídky</w:t>
            </w:r>
          </w:p>
        </w:tc>
      </w:tr>
      <w:tr>
        <w:tc>
          <w:tcPr>
            <w:tcW w:type="dxa" w:w="4946"/>
          </w:tcPr>
          <w:p>
            <w:r>
              <w:t>Productive struggle</w:t>
            </w:r>
          </w:p>
        </w:tc>
        <w:tc>
          <w:tcPr>
            <w:tcW w:type="dxa" w:w="4946"/>
          </w:tcPr>
          <w:p>
            <w:r>
              <w:t>produktivní úsilí</w:t>
            </w:r>
          </w:p>
        </w:tc>
      </w:tr>
      <w:tr>
        <w:tc>
          <w:tcPr>
            <w:tcW w:type="dxa" w:w="4946"/>
          </w:tcPr>
          <w:p>
            <w:r>
              <w:t>Shallow processing</w:t>
            </w:r>
          </w:p>
        </w:tc>
        <w:tc>
          <w:tcPr>
            <w:tcW w:type="dxa" w:w="4946"/>
          </w:tcPr>
          <w:p>
            <w:r>
              <w:t>povrchní zpracování</w:t>
            </w:r>
          </w:p>
        </w:tc>
      </w:tr>
      <w:tr>
        <w:tc>
          <w:tcPr>
            <w:tcW w:type="dxa" w:w="4946"/>
          </w:tcPr>
          <w:p>
            <w:r>
              <w:t>Scaffolding</w:t>
            </w:r>
          </w:p>
        </w:tc>
        <w:tc>
          <w:tcPr>
            <w:tcW w:type="dxa" w:w="4946"/>
          </w:tcPr>
          <w:p>
            <w:r>
              <w:t>scaffolding / opora ve výuce</w:t>
            </w:r>
          </w:p>
        </w:tc>
      </w:tr>
      <w:tr>
        <w:tc>
          <w:tcPr>
            <w:tcW w:type="dxa" w:w="4946"/>
          </w:tcPr>
          <w:p>
            <w:r>
              <w:t>Hierarchical regression</w:t>
            </w:r>
          </w:p>
        </w:tc>
        <w:tc>
          <w:tcPr>
            <w:tcW w:type="dxa" w:w="4946"/>
          </w:tcPr>
          <w:p>
            <w:r>
              <w:t>hierarchická regrese</w:t>
            </w:r>
          </w:p>
        </w:tc>
      </w:tr>
      <w:tr>
        <w:tc>
          <w:tcPr>
            <w:tcW w:type="dxa" w:w="4946"/>
          </w:tcPr>
          <w:p>
            <w:r>
              <w:t>Final applied assessment</w:t>
            </w:r>
          </w:p>
        </w:tc>
        <w:tc>
          <w:tcPr>
            <w:tcW w:type="dxa" w:w="4946"/>
          </w:tcPr>
          <w:p>
            <w:r>
              <w:t>závěrečné aplikované hodnocení</w:t>
            </w:r>
          </w:p>
        </w:tc>
      </w:tr>
    </w:tbl>
    <w:p>
      <w:pPr>
        <w:pStyle w:val="ScriptoriumNote"/>
      </w:pPr>
      <w:r>
        <w:rPr>
          <w:b/>
        </w:rPr>
        <w:t xml:space="preserve">Quality-control note: </w:t>
      </w:r>
      <w:r>
        <w:t>Academic register, terminology consistency, fictional-status disclosure, and document formatting were preserved for portfolio demonstration purposes.</w:t>
      </w:r>
    </w:p>
    <w:p>
      <w:pPr>
        <w:sectPr>
          <w:pgSz w:w="11909" w:h="16834"/>
          <w:pgMar w:top="936" w:right="1008" w:bottom="936" w:left="1008" w:header="720" w:footer="720" w:gutter="0"/>
          <w:cols w:space="720"/>
          <w:docGrid w:linePitch="360"/>
        </w:sectPr>
      </w:pPr>
    </w:p>
    <w:p>
      <w:pPr>
        <w:pStyle w:val="Heading1"/>
      </w:pPr>
      <w:r>
        <w:t>SCRIPTORIUM MULTILINGUAL QUALITY SUMMARY</w:t>
      </w:r>
    </w:p>
    <w:p>
      <w:pPr>
        <w:pStyle w:val="ScriptoriumBody"/>
      </w:pPr>
      <w:r>
        <w:t>This multilingual edition demonstrates how a single academic source document can be handled as a controlled translation project across seven target languages. The addendum is intended for Fiverr, Workana, LinkedIn, and future website portfolio use.</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14223E"/>
          </w:tcPr>
          <w:p>
            <w:r>
              <w:rPr>
                <w:b/>
                <w:color w:val="FFFFFF"/>
              </w:rPr>
              <w:t>Item</w:t>
            </w:r>
          </w:p>
        </w:tc>
        <w:tc>
          <w:tcPr>
            <w:tcW w:type="dxa" w:w="3298"/>
            <w:shd w:fill="14223E"/>
          </w:tcPr>
          <w:p>
            <w:r>
              <w:rPr>
                <w:b/>
                <w:color w:val="FFFFFF"/>
              </w:rPr>
              <w:t>Status</w:t>
            </w:r>
          </w:p>
        </w:tc>
        <w:tc>
          <w:tcPr>
            <w:tcW w:type="dxa" w:w="3298"/>
            <w:shd w:fill="14223E"/>
          </w:tcPr>
          <w:p>
            <w:r>
              <w:rPr>
                <w:b/>
                <w:color w:val="FFFFFF"/>
              </w:rPr>
              <w:t>Portfolio relevance</w:t>
            </w:r>
          </w:p>
        </w:tc>
      </w:tr>
      <w:tr>
        <w:tc>
          <w:tcPr>
            <w:tcW w:type="dxa" w:w="3298"/>
          </w:tcPr>
          <w:p>
            <w:r>
              <w:t>Original English article</w:t>
            </w:r>
          </w:p>
        </w:tc>
        <w:tc>
          <w:tcPr>
            <w:tcW w:type="dxa" w:w="3298"/>
          </w:tcPr>
          <w:p>
            <w:r>
              <w:t>Included</w:t>
            </w:r>
          </w:p>
        </w:tc>
        <w:tc>
          <w:tcPr>
            <w:tcW w:type="dxa" w:w="3298"/>
          </w:tcPr>
          <w:p>
            <w:r>
              <w:t>Shows source-document formatting and academic structure</w:t>
            </w:r>
          </w:p>
        </w:tc>
      </w:tr>
      <w:tr>
        <w:tc>
          <w:tcPr>
            <w:tcW w:type="dxa" w:w="3298"/>
          </w:tcPr>
          <w:p>
            <w:r>
              <w:t>Seven target-language versions</w:t>
            </w:r>
          </w:p>
        </w:tc>
        <w:tc>
          <w:tcPr>
            <w:tcW w:type="dxa" w:w="3298"/>
          </w:tcPr>
          <w:p>
            <w:r>
              <w:t>Included</w:t>
            </w:r>
          </w:p>
        </w:tc>
        <w:tc>
          <w:tcPr>
            <w:tcW w:type="dxa" w:w="3298"/>
          </w:tcPr>
          <w:p>
            <w:r>
              <w:t>Demonstrates multilingual capacity without using copyrighted source material</w:t>
            </w:r>
          </w:p>
        </w:tc>
      </w:tr>
      <w:tr>
        <w:tc>
          <w:tcPr>
            <w:tcW w:type="dxa" w:w="3298"/>
          </w:tcPr>
          <w:p>
            <w:r>
              <w:t>Terminology tables</w:t>
            </w:r>
          </w:p>
        </w:tc>
        <w:tc>
          <w:tcPr>
            <w:tcW w:type="dxa" w:w="3298"/>
          </w:tcPr>
          <w:p>
            <w:r>
              <w:t>Included</w:t>
            </w:r>
          </w:p>
        </w:tc>
        <w:tc>
          <w:tcPr>
            <w:tcW w:type="dxa" w:w="3298"/>
          </w:tcPr>
          <w:p>
            <w:r>
              <w:t>Shows terminology management and field-specific consistency</w:t>
            </w:r>
          </w:p>
        </w:tc>
      </w:tr>
      <w:tr>
        <w:tc>
          <w:tcPr>
            <w:tcW w:type="dxa" w:w="3298"/>
          </w:tcPr>
          <w:p>
            <w:r>
              <w:t>Ethical disclosure</w:t>
            </w:r>
          </w:p>
        </w:tc>
        <w:tc>
          <w:tcPr>
            <w:tcW w:type="dxa" w:w="3298"/>
          </w:tcPr>
          <w:p>
            <w:r>
              <w:t>Included</w:t>
            </w:r>
          </w:p>
        </w:tc>
        <w:tc>
          <w:tcPr>
            <w:tcW w:type="dxa" w:w="3298"/>
          </w:tcPr>
          <w:p>
            <w:r>
              <w:t>Prevents false claim of real publication or real client work</w:t>
            </w:r>
          </w:p>
        </w:tc>
      </w:tr>
      <w:tr>
        <w:tc>
          <w:tcPr>
            <w:tcW w:type="dxa" w:w="3298"/>
          </w:tcPr>
          <w:p>
            <w:r>
              <w:t>Recommended use</w:t>
            </w:r>
          </w:p>
        </w:tc>
        <w:tc>
          <w:tcPr>
            <w:tcW w:type="dxa" w:w="3298"/>
          </w:tcPr>
          <w:p>
            <w:r>
              <w:t>Approved for portfolio</w:t>
            </w:r>
          </w:p>
        </w:tc>
        <w:tc>
          <w:tcPr>
            <w:tcW w:type="dxa" w:w="3298"/>
          </w:tcPr>
          <w:p>
            <w:r>
              <w:t>Use as a sample document, not as empirical evidence</w:t>
            </w:r>
          </w:p>
        </w:tc>
      </w:tr>
    </w:tbl>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69707D"/>
        <w:sz w:val="15"/>
      </w:rPr>
      <w:t>Fictional source document created for translation portfolio demonstration. Data, authors, and journal are invented.</w:t>
    </w:r>
  </w:p>
  <w:p>
    <w:pPr>
      <w:jc w:val="right"/>
    </w:pPr>
    <w:r>
      <w:rPr>
        <w:rFonts w:ascii="Calibri" w:hAnsi="Calibri"/>
        <w:color w:val="69707D"/>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CAE41"/>
      </w:pBdr>
    </w:pPr>
    <w:r>
      <w:rPr>
        <w:rFonts w:ascii="Georgia" w:hAnsi="Georgia"/>
        <w:b/>
        <w:color w:val="DCAE41"/>
        <w:sz w:val="22"/>
      </w:rPr>
      <w:t>SCRIPTORIUM</w:t>
    </w:r>
    <w:r>
      <w:rPr>
        <w:rFonts w:ascii="Calibri" w:hAnsi="Calibri"/>
        <w:color w:val="69707D"/>
        <w:sz w:val="17"/>
      </w:rPr>
      <w:t xml:space="preserve">  |  Academic Translation Portfolio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color w:val="1E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Liberation Serif"/>
      <w:b/>
      <w:bCs/>
      <w:color w:val="1422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eastAsia="Liberation Serif"/>
      <w:b/>
      <w:bCs/>
      <w:color w:val="1422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eastAsia="Liberation Serif"/>
      <w:b/>
      <w:bCs/>
      <w:color w:val="1422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1E232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oriumBody">
    <w:name w:val="Scriptorium Body"/>
    <w:basedOn w:val="Normal"/>
    <w:rPr>
      <w:rFonts w:ascii="Liberation Serif" w:hAnsi="Liberation Serif" w:eastAsia="Liberation Serif"/>
      <w:b w:val="0"/>
      <w:sz w:val="21"/>
    </w:rPr>
  </w:style>
  <w:style w:type="paragraph" w:customStyle="1" w:styleId="ScriptoriumLabel">
    <w:name w:val="Scriptorium Label"/>
    <w:basedOn w:val="Normal"/>
    <w:rPr>
      <w:rFonts w:ascii="Liberation Serif" w:hAnsi="Liberation Serif" w:eastAsia="Liberation Serif"/>
      <w:b/>
      <w:color w:val="D1AA49"/>
      <w:sz w:val="19"/>
    </w:rPr>
  </w:style>
  <w:style w:type="paragraph" w:customStyle="1" w:styleId="ScriptoriumNote">
    <w:name w:val="Scriptorium Note"/>
    <w:basedOn w:val="Normal"/>
    <w:rPr>
      <w:rFonts w:ascii="Liberation Serif" w:hAnsi="Liberation Serif" w:eastAsia="Liberation Serif"/>
      <w:b w:val="0"/>
      <w:color w:val="505050"/>
      <w:sz w:val="18"/>
    </w:rPr>
  </w:style>
  <w:style w:type="paragraph" w:customStyle="1" w:styleId="ScriptoriumSectionTitle">
    <w:name w:val="Scriptorium Section Title"/>
    <w:basedOn w:val="Normal"/>
    <w:rPr>
      <w:rFonts w:ascii="Liberation Serif" w:hAnsi="Liberation Serif" w:eastAsia="Liberation Serif"/>
      <w:b/>
      <w:color w:val="14223E"/>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Scriptorium Academic Sample Document 01 - English Research Article</dc:title>
  <dc:subject>Academic translation portfolio sample</dc:subject>
  <dc:creator>Scriptorium</dc:creator>
  <cp:keywords>translation, academic, research article, psychology, AI, education</cp:keywords>
  <dc:description>Fictional source document created for translation portfolio demonstration.</dc:description>
  <cp:lastModifiedBy/>
  <cp:revision>1</cp:revision>
  <dcterms:created xsi:type="dcterms:W3CDTF">2013-12-23T23:15:00Z</dcterms:created>
  <dcterms:modified xsi:type="dcterms:W3CDTF">2013-12-23T23:15:00Z</dcterms:modified>
  <cp:category/>
</cp:coreProperties>
</file>