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904"/>
        <w:gridCol w:w="4608"/>
      </w:tblGrid>
      <w:tr>
        <w:tc>
          <w:tcPr>
            <w:tcW w:type="dxa" w:w="5184"/>
            <w:shd w:fill="132039"/>
            <w:vAlign w:val="center"/>
            <w:tcMar>
              <w:top w:w="350" w:type="dxa"/>
              <w:start w:w="350" w:type="dxa"/>
              <w:bottom w:w="350" w:type="dxa"/>
              <w:end w:w="350" w:type="dxa"/>
            </w:tcMar>
          </w:tcPr>
          <w:p>
            <w:pPr>
              <w:jc w:val="left"/>
            </w:pPr>
            <w:r>
              <w:rPr>
                <w:rFonts w:ascii="Georgia" w:hAnsi="Georgia"/>
                <w:b/>
                <w:color w:val="D9B04C"/>
                <w:sz w:val="64"/>
              </w:rPr>
              <w:t>SCRIPTORIUM</w:t>
            </w:r>
          </w:p>
          <w:p>
            <w:pPr>
              <w:spacing w:after="440"/>
            </w:pPr>
            <w:r>
              <w:rPr>
                <w:rFonts w:ascii="Aptos" w:hAnsi="Aptos"/>
                <w:b/>
                <w:color w:val="FFFFFF"/>
                <w:sz w:val="20"/>
              </w:rPr>
              <w:t>ACADEMIC &amp; RESEARCH PORTFOLIO</w:t>
            </w:r>
          </w:p>
          <w:p>
            <w:pPr>
              <w:spacing w:after="320"/>
            </w:pPr>
            <w:r>
              <w:rPr>
                <w:rFonts w:ascii="Georgia" w:hAnsi="Georgia"/>
                <w:b/>
                <w:color w:val="FFFFFF"/>
                <w:sz w:val="56"/>
              </w:rPr>
              <w:t>Full thesis chapter</w:t>
              <w:br/>
              <w:t>translation sample.</w:t>
            </w:r>
          </w:p>
          <w:p>
            <w:pPr>
              <w:spacing w:after="520"/>
            </w:pPr>
            <w:r>
              <w:rPr>
                <w:rFonts w:ascii="Aptos" w:hAnsi="Aptos"/>
                <w:color w:val="FFFFFF"/>
                <w:sz w:val="24"/>
              </w:rPr>
              <w:t>English source + complete Spanish translation</w:t>
              <w:br/>
              <w:t>with multilingual terminology support.</w:t>
            </w:r>
          </w:p>
          <w:tbl>
            <w:tblPr>
              <w:tblW w:type="auto" w:w="0"/>
              <w:tblLook w:firstColumn="1" w:firstRow="1" w:lastColumn="0" w:lastRow="0" w:noHBand="0" w:noVBand="1" w:val="04A0"/>
              <w:tblBorders>
                <w:top w:val="single" w:sz="8" w:space="0" w:color="D9B04C"/>
                <w:left w:val="single" w:sz="8" w:space="0" w:color="D9B04C"/>
                <w:bottom w:val="single" w:sz="8" w:space="0" w:color="D9B04C"/>
                <w:right w:val="single" w:sz="8" w:space="0" w:color="D9B04C"/>
                <w:insideH w:val="single" w:sz="8" w:space="0" w:color="D9B04C"/>
                <w:insideV w:val="single" w:sz="8" w:space="0" w:color="D9B04C"/>
              </w:tblBorders>
            </w:tblPr>
            <w:tblGrid>
              <w:gridCol w:w="2592"/>
              <w:gridCol w:w="2592"/>
            </w:tblGrid>
            <w:tr>
              <w:tc>
                <w:tcPr>
                  <w:tcW w:type="dxa" w:w="2592"/>
                  <w:shd w:fill="132039"/>
                  <w:tcMar>
                    <w:top w:w="90" w:type="dxa"/>
                    <w:start w:w="90" w:type="dxa"/>
                    <w:bottom w:w="90" w:type="dxa"/>
                    <w:end w:w="90" w:type="dxa"/>
                  </w:tcMar>
                  <w:vAlign w:val="center"/>
                </w:tcPr>
                <w:p>
                  <w:pPr>
                    <w:spacing w:after="0" w:before="0"/>
                  </w:pPr>
                  <w:r/>
                  <w:r>
                    <w:rPr>
                      <w:rFonts w:ascii="Aptos" w:hAnsi="Aptos"/>
                      <w:b/>
                      <w:color w:val="FFFFFF"/>
                      <w:sz w:val="17"/>
                    </w:rPr>
                    <w:t>Complete EN -&gt; ES</w:t>
                  </w:r>
                </w:p>
              </w:tc>
              <w:tc>
                <w:tcPr>
                  <w:tcW w:type="dxa" w:w="2592"/>
                  <w:shd w:fill="132039"/>
                  <w:tcMar>
                    <w:top w:w="90" w:type="dxa"/>
                    <w:start w:w="90" w:type="dxa"/>
                    <w:bottom w:w="90" w:type="dxa"/>
                    <w:end w:w="90" w:type="dxa"/>
                  </w:tcMar>
                  <w:vAlign w:val="center"/>
                </w:tcPr>
                <w:p>
                  <w:pPr>
                    <w:spacing w:after="0" w:before="0"/>
                  </w:pPr>
                  <w:r/>
                  <w:r>
                    <w:rPr>
                      <w:rFonts w:ascii="Aptos" w:hAnsi="Aptos"/>
                      <w:b/>
                      <w:color w:val="FFFFFF"/>
                      <w:sz w:val="17"/>
                    </w:rPr>
                    <w:t>Aligned bilingual table</w:t>
                  </w:r>
                </w:p>
              </w:tc>
            </w:tr>
            <w:tr>
              <w:tc>
                <w:tcPr>
                  <w:tcW w:type="dxa" w:w="2592"/>
                  <w:shd w:fill="132039"/>
                  <w:tcMar>
                    <w:top w:w="90" w:type="dxa"/>
                    <w:start w:w="90" w:type="dxa"/>
                    <w:bottom w:w="90" w:type="dxa"/>
                    <w:end w:w="90" w:type="dxa"/>
                  </w:tcMar>
                  <w:vAlign w:val="center"/>
                </w:tcPr>
                <w:p>
                  <w:pPr>
                    <w:spacing w:after="0" w:before="0"/>
                  </w:pPr>
                  <w:r/>
                  <w:r>
                    <w:rPr>
                      <w:rFonts w:ascii="Aptos" w:hAnsi="Aptos"/>
                      <w:b/>
                      <w:color w:val="FFFFFF"/>
                      <w:sz w:val="17"/>
                    </w:rPr>
                    <w:t>Psychology terminology</w:t>
                  </w:r>
                </w:p>
              </w:tc>
              <w:tc>
                <w:tcPr>
                  <w:tcW w:type="dxa" w:w="2592"/>
                  <w:shd w:fill="132039"/>
                  <w:tcMar>
                    <w:top w:w="90" w:type="dxa"/>
                    <w:start w:w="90" w:type="dxa"/>
                    <w:bottom w:w="90" w:type="dxa"/>
                    <w:end w:w="90" w:type="dxa"/>
                  </w:tcMar>
                  <w:vAlign w:val="center"/>
                </w:tcPr>
                <w:p>
                  <w:pPr>
                    <w:spacing w:after="0" w:before="0"/>
                  </w:pPr>
                  <w:r/>
                  <w:r>
                    <w:rPr>
                      <w:rFonts w:ascii="Aptos" w:hAnsi="Aptos"/>
                      <w:b/>
                      <w:color w:val="FFFFFF"/>
                      <w:sz w:val="17"/>
                    </w:rPr>
                    <w:t>12-language addendum</w:t>
                  </w:r>
                </w:p>
              </w:tc>
            </w:tr>
          </w:tbl>
          <w:p/>
        </w:tc>
        <w:tc>
          <w:tcPr>
            <w:tcW w:type="dxa" w:w="5184"/>
            <w:shd w:fill="F5F7FA"/>
            <w:vAlign w:val="center"/>
            <w:tcMar>
              <w:top w:w="350" w:type="dxa"/>
              <w:start w:w="350" w:type="dxa"/>
              <w:bottom w:w="350" w:type="dxa"/>
              <w:end w:w="350" w:type="dxa"/>
            </w:tcMar>
          </w:tcPr>
          <w:p>
            <w:pPr>
              <w:jc w:val="center"/>
            </w:pPr>
            <w:r>
              <w:rPr>
                <w:rFonts w:ascii="Georgia" w:hAnsi="Georgia"/>
                <w:b/>
                <w:color w:val="132039"/>
                <w:sz w:val="34"/>
              </w:rPr>
              <w:br/>
              <w:t>Translation Demonstration</w:t>
              <w:br/>
            </w:r>
          </w:p>
          <w:p>
            <w:pPr>
              <w:jc w:val="center"/>
            </w:pPr>
            <w:r>
              <w:rPr>
                <w:rFonts w:ascii="Aptos" w:hAnsi="Aptos"/>
                <w:color w:val="5E6673"/>
                <w:sz w:val="20"/>
              </w:rPr>
              <w:t>Thesis Chapter | Psychology | Academic Register</w:t>
            </w:r>
          </w:p>
          <w:p>
            <w:pPr>
              <w:spacing w:before="600"/>
              <w:jc w:val="center"/>
            </w:pPr>
            <w:r>
              <w:rPr>
                <w:rFonts w:ascii="Aptos" w:hAnsi="Aptos"/>
                <w:b/>
                <w:color w:val="132039"/>
                <w:sz w:val="26"/>
              </w:rPr>
              <w:t>ATTACHMENT</w:t>
              <w:br/>
              <w:t>EMOTION REGULATION</w:t>
              <w:br/>
              <w:t>EMERGING ADULTHOOD</w:t>
            </w:r>
          </w:p>
          <w:p>
            <w:pPr>
              <w:spacing w:before="1000"/>
              <w:jc w:val="center"/>
            </w:pPr>
            <w:r>
              <w:rPr>
                <w:rFonts w:ascii="Aptos" w:hAnsi="Aptos"/>
                <w:color w:val="5E6673"/>
                <w:sz w:val="18"/>
              </w:rPr>
              <w:t>Portfolio sample document</w:t>
              <w:br/>
              <w:t>Fictional text created for demonstration</w:t>
            </w:r>
          </w:p>
        </w:tc>
      </w:tr>
    </w:tbl>
    <w:p>
      <w:pPr>
        <w:widowControl/>
      </w:pPr>
      <w:r>
        <w:br w:type="page"/>
      </w:r>
    </w:p>
    <w:p>
      <w:pPr>
        <w:widowControl/>
        <w:spacing w:before="240" w:after="60"/>
      </w:pPr>
      <w:r>
        <w:rPr>
          <w:rFonts w:ascii="Georgia" w:hAnsi="Georgia"/>
          <w:b/>
          <w:color w:val="132039"/>
          <w:sz w:val="36"/>
        </w:rPr>
        <w:t>Project Profile</w:t>
      </w:r>
    </w:p>
    <w:p>
      <w:pPr>
        <w:widowControl/>
        <w:spacing w:after="200"/>
      </w:pPr>
      <w:r>
        <w:rPr>
          <w:rFonts w:ascii="Aptos" w:hAnsi="Aptos"/>
          <w:color w:val="5E6673"/>
          <w:sz w:val="20"/>
        </w:rPr>
        <w:t>Translation-forward version: source text, complete target translation, and terminology QA</w:t>
      </w:r>
    </w:p>
    <w:p>
      <w:pPr>
        <w:spacing w:after="240"/>
        <w:widowControl/>
        <w:pBdr>
          <w:bottom w:val="single" w:sz="12" w:space="1" w:color="D9B04C"/>
        </w:pBdr>
      </w:pPr>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84"/>
        <w:gridCol w:w="5184"/>
      </w:tblGrid>
      <w:tr>
        <w:tc>
          <w:tcPr>
            <w:tcW w:type="dxa" w:w="5184"/>
            <w:shd w:fill="132039"/>
            <w:tcMar>
              <w:top w:w="120" w:type="dxa"/>
              <w:start w:w="120" w:type="dxa"/>
              <w:bottom w:w="120" w:type="dxa"/>
              <w:end w:w="120" w:type="dxa"/>
            </w:tcMar>
          </w:tcPr>
          <w:p>
            <w:pPr>
              <w:spacing w:after="0" w:before="0"/>
            </w:pPr>
            <w:r/>
            <w:r>
              <w:rPr>
                <w:rFonts w:ascii="Aptos" w:hAnsi="Aptos"/>
                <w:b/>
                <w:color w:val="FFFFFF"/>
                <w:sz w:val="18"/>
              </w:rPr>
              <w:t>Document type</w:t>
            </w:r>
          </w:p>
        </w:tc>
        <w:tc>
          <w:tcPr>
            <w:tcW w:type="dxa" w:w="5184"/>
            <w:shd w:fill="F5F7FA"/>
            <w:tcMar>
              <w:top w:w="120" w:type="dxa"/>
              <w:start w:w="120" w:type="dxa"/>
              <w:bottom w:w="120" w:type="dxa"/>
              <w:end w:w="120" w:type="dxa"/>
            </w:tcMar>
          </w:tcPr>
          <w:p>
            <w:pPr>
              <w:spacing w:after="0" w:before="0"/>
            </w:pPr>
            <w:r/>
            <w:r>
              <w:rPr>
                <w:rFonts w:ascii="Aptos" w:hAnsi="Aptos"/>
                <w:b w:val="0"/>
                <w:color w:val="1D1D1F"/>
                <w:sz w:val="18"/>
              </w:rPr>
              <w:t>Thesis Chapter Translation Sample</w:t>
            </w:r>
          </w:p>
        </w:tc>
      </w:tr>
      <w:tr>
        <w:tc>
          <w:tcPr>
            <w:tcW w:type="dxa" w:w="5184"/>
            <w:shd w:fill="132039"/>
            <w:tcMar>
              <w:top w:w="120" w:type="dxa"/>
              <w:start w:w="120" w:type="dxa"/>
              <w:bottom w:w="120" w:type="dxa"/>
              <w:end w:w="120" w:type="dxa"/>
            </w:tcMar>
          </w:tcPr>
          <w:p>
            <w:pPr>
              <w:spacing w:after="0" w:before="0"/>
            </w:pPr>
            <w:r/>
            <w:r>
              <w:rPr>
                <w:rFonts w:ascii="Aptos" w:hAnsi="Aptos"/>
                <w:b/>
                <w:color w:val="FFFFFF"/>
                <w:sz w:val="18"/>
              </w:rPr>
              <w:t>Source language</w:t>
            </w:r>
          </w:p>
        </w:tc>
        <w:tc>
          <w:tcPr>
            <w:tcW w:type="dxa" w:w="5184"/>
            <w:shd w:fill="F5F7FA"/>
            <w:tcMar>
              <w:top w:w="120" w:type="dxa"/>
              <w:start w:w="120" w:type="dxa"/>
              <w:bottom w:w="120" w:type="dxa"/>
              <w:end w:w="120" w:type="dxa"/>
            </w:tcMar>
          </w:tcPr>
          <w:p>
            <w:pPr>
              <w:spacing w:after="0" w:before="0"/>
            </w:pPr>
            <w:r/>
            <w:r>
              <w:rPr>
                <w:rFonts w:ascii="Aptos" w:hAnsi="Aptos"/>
                <w:b w:val="0"/>
                <w:color w:val="1D1D1F"/>
                <w:sz w:val="18"/>
              </w:rPr>
              <w:t>English</w:t>
            </w:r>
          </w:p>
        </w:tc>
      </w:tr>
      <w:tr>
        <w:tc>
          <w:tcPr>
            <w:tcW w:type="dxa" w:w="5184"/>
            <w:shd w:fill="132039"/>
            <w:tcMar>
              <w:top w:w="120" w:type="dxa"/>
              <w:start w:w="120" w:type="dxa"/>
              <w:bottom w:w="120" w:type="dxa"/>
              <w:end w:w="120" w:type="dxa"/>
            </w:tcMar>
          </w:tcPr>
          <w:p>
            <w:pPr>
              <w:spacing w:after="0" w:before="0"/>
            </w:pPr>
            <w:r/>
            <w:r>
              <w:rPr>
                <w:rFonts w:ascii="Aptos" w:hAnsi="Aptos"/>
                <w:b/>
                <w:color w:val="FFFFFF"/>
                <w:sz w:val="18"/>
              </w:rPr>
              <w:t>Primary target language</w:t>
            </w:r>
          </w:p>
        </w:tc>
        <w:tc>
          <w:tcPr>
            <w:tcW w:type="dxa" w:w="5184"/>
            <w:shd w:fill="F5F7FA"/>
            <w:tcMar>
              <w:top w:w="120" w:type="dxa"/>
              <w:start w:w="120" w:type="dxa"/>
              <w:bottom w:w="120" w:type="dxa"/>
              <w:end w:w="120" w:type="dxa"/>
            </w:tcMar>
          </w:tcPr>
          <w:p>
            <w:pPr>
              <w:spacing w:after="0" w:before="0"/>
            </w:pPr>
            <w:r/>
            <w:r>
              <w:rPr>
                <w:rFonts w:ascii="Aptos" w:hAnsi="Aptos"/>
                <w:b w:val="0"/>
                <w:color w:val="1D1D1F"/>
                <w:sz w:val="18"/>
              </w:rPr>
              <w:t>Spanish - complete translation</w:t>
            </w:r>
          </w:p>
        </w:tc>
      </w:tr>
      <w:tr>
        <w:tc>
          <w:tcPr>
            <w:tcW w:type="dxa" w:w="5184"/>
            <w:shd w:fill="132039"/>
            <w:tcMar>
              <w:top w:w="120" w:type="dxa"/>
              <w:start w:w="120" w:type="dxa"/>
              <w:bottom w:w="120" w:type="dxa"/>
              <w:end w:w="120" w:type="dxa"/>
            </w:tcMar>
          </w:tcPr>
          <w:p>
            <w:pPr>
              <w:spacing w:after="0" w:before="0"/>
            </w:pPr>
            <w:r/>
            <w:r>
              <w:rPr>
                <w:rFonts w:ascii="Aptos" w:hAnsi="Aptos"/>
                <w:b/>
                <w:color w:val="FFFFFF"/>
                <w:sz w:val="18"/>
              </w:rPr>
              <w:t>Additional language sample set</w:t>
            </w:r>
          </w:p>
        </w:tc>
        <w:tc>
          <w:tcPr>
            <w:tcW w:type="dxa" w:w="5184"/>
            <w:shd w:fill="F5F7FA"/>
            <w:tcMar>
              <w:top w:w="120" w:type="dxa"/>
              <w:start w:w="120" w:type="dxa"/>
              <w:bottom w:w="120" w:type="dxa"/>
              <w:end w:w="120" w:type="dxa"/>
            </w:tcMar>
          </w:tcPr>
          <w:p>
            <w:pPr>
              <w:spacing w:after="0" w:before="0"/>
            </w:pPr>
            <w:r/>
            <w:r>
              <w:rPr>
                <w:rFonts w:ascii="Aptos" w:hAnsi="Aptos"/>
                <w:b w:val="0"/>
                <w:color w:val="1D1D1F"/>
                <w:sz w:val="18"/>
              </w:rPr>
              <w:t>DE, FR, PT, IT, RU, CS, ZH, JA, HE, AR</w:t>
            </w:r>
          </w:p>
        </w:tc>
      </w:tr>
      <w:tr>
        <w:tc>
          <w:tcPr>
            <w:tcW w:type="dxa" w:w="5184"/>
            <w:shd w:fill="132039"/>
            <w:tcMar>
              <w:top w:w="120" w:type="dxa"/>
              <w:start w:w="120" w:type="dxa"/>
              <w:bottom w:w="120" w:type="dxa"/>
              <w:end w:w="120" w:type="dxa"/>
            </w:tcMar>
          </w:tcPr>
          <w:p>
            <w:pPr>
              <w:spacing w:after="0" w:before="0"/>
            </w:pPr>
            <w:r/>
            <w:r>
              <w:rPr>
                <w:rFonts w:ascii="Aptos" w:hAnsi="Aptos"/>
                <w:b/>
                <w:color w:val="FFFFFF"/>
                <w:sz w:val="18"/>
              </w:rPr>
              <w:t>Purpose</w:t>
            </w:r>
          </w:p>
        </w:tc>
        <w:tc>
          <w:tcPr>
            <w:tcW w:type="dxa" w:w="5184"/>
            <w:shd w:fill="F5F7FA"/>
            <w:tcMar>
              <w:top w:w="120" w:type="dxa"/>
              <w:start w:w="120" w:type="dxa"/>
              <w:bottom w:w="120" w:type="dxa"/>
              <w:end w:w="120" w:type="dxa"/>
            </w:tcMar>
          </w:tcPr>
          <w:p>
            <w:pPr>
              <w:spacing w:after="0" w:before="0"/>
            </w:pPr>
            <w:r/>
            <w:r>
              <w:rPr>
                <w:rFonts w:ascii="Aptos" w:hAnsi="Aptos"/>
                <w:b w:val="0"/>
                <w:color w:val="1D1D1F"/>
                <w:sz w:val="18"/>
              </w:rPr>
              <w:t>Fiverr / Workana portfolio evidence for academic translation, psychology terminology, and document formatting</w:t>
            </w:r>
          </w:p>
        </w:tc>
      </w:tr>
    </w:tbl>
    <w:p>
      <w:pPr>
        <w:widowControl/>
        <w:spacing w:before="160" w:after="60"/>
      </w:pPr>
      <w:r>
        <w:rPr>
          <w:rFonts w:ascii="Aptos" w:hAnsi="Aptos"/>
          <w:b/>
          <w:color w:val="D9B04C"/>
          <w:sz w:val="18"/>
        </w:rPr>
        <w:t>WHAT THIS SAMPLE DEMONSTRATES</w:t>
      </w:r>
    </w:p>
    <w:p>
      <w:pPr>
        <w:pStyle w:val="ListBullet"/>
        <w:spacing w:after="80"/>
      </w:pPr>
      <w:r>
        <w:rPr>
          <w:rFonts w:ascii="Aptos" w:hAnsi="Aptos"/>
          <w:color w:val="1D1D1F"/>
          <w:sz w:val="20"/>
        </w:rPr>
        <w:t>A long academic source text translated as a complete deliverable, not merely an abstract or short excerpt.</w:t>
      </w:r>
    </w:p>
    <w:p>
      <w:pPr>
        <w:pStyle w:val="ListBullet"/>
        <w:spacing w:after="80"/>
      </w:pPr>
      <w:r>
        <w:rPr>
          <w:rFonts w:ascii="Aptos" w:hAnsi="Aptos"/>
          <w:color w:val="1D1D1F"/>
          <w:sz w:val="20"/>
        </w:rPr>
        <w:t>Parallel alignment between source paragraphs and the Spanish target version for transparent quality review.</w:t>
      </w:r>
    </w:p>
    <w:p>
      <w:pPr>
        <w:pStyle w:val="ListBullet"/>
        <w:spacing w:after="80"/>
      </w:pPr>
      <w:r>
        <w:rPr>
          <w:rFonts w:ascii="Aptos" w:hAnsi="Aptos"/>
          <w:color w:val="1D1D1F"/>
          <w:sz w:val="20"/>
        </w:rPr>
        <w:t>Preservation of academic tone, psychological terminology, conceptual nuance, headings, and section logic.</w:t>
      </w:r>
    </w:p>
    <w:p>
      <w:pPr>
        <w:pStyle w:val="ListBullet"/>
        <w:spacing w:after="80"/>
      </w:pPr>
      <w:r>
        <w:rPr>
          <w:rFonts w:ascii="Aptos" w:hAnsi="Aptos"/>
          <w:color w:val="1D1D1F"/>
          <w:sz w:val="20"/>
        </w:rPr>
        <w:t>A multilingual addendum that shows multiscript capacity without replacing the main full translation pair.</w:t>
      </w:r>
    </w:p>
    <w:p>
      <w:pPr>
        <w:widowControl/>
      </w:pPr>
      <w:r>
        <w:br w:type="page"/>
      </w:r>
    </w:p>
    <w:p>
      <w:pPr>
        <w:widowControl/>
        <w:spacing w:before="240" w:after="60"/>
      </w:pPr>
      <w:r>
        <w:rPr>
          <w:rFonts w:ascii="Georgia" w:hAnsi="Georgia"/>
          <w:b/>
          <w:color w:val="132039"/>
          <w:sz w:val="36"/>
        </w:rPr>
        <w:t>Source Document - English</w:t>
      </w:r>
    </w:p>
    <w:p>
      <w:pPr>
        <w:widowControl/>
        <w:spacing w:after="200"/>
      </w:pPr>
      <w:r>
        <w:rPr>
          <w:rFonts w:ascii="Aptos" w:hAnsi="Aptos"/>
          <w:color w:val="5E6673"/>
          <w:sz w:val="20"/>
        </w:rPr>
        <w:t>Long-form thesis chapter sample created for translation demonstration</w:t>
      </w:r>
    </w:p>
    <w:p>
      <w:pPr>
        <w:spacing w:after="240"/>
        <w:widowControl/>
        <w:pBdr>
          <w:bottom w:val="single" w:sz="12" w:space="1" w:color="D9B04C"/>
        </w:pBdr>
      </w:pPr>
      <w:r/>
    </w:p>
    <w:p>
      <w:pPr>
        <w:widowControl/>
        <w:spacing w:before="160" w:after="80"/>
      </w:pPr>
      <w:r>
        <w:rPr>
          <w:rFonts w:ascii="Georgia" w:hAnsi="Georgia"/>
          <w:b/>
          <w:color w:val="132039"/>
          <w:sz w:val="26"/>
        </w:rPr>
        <w:t>Chapter Title</w:t>
      </w:r>
    </w:p>
    <w:p>
      <w:pPr>
        <w:widowControl/>
        <w:spacing w:line="259" w:lineRule="auto" w:after="120"/>
        <w:jc w:val="both"/>
      </w:pPr>
      <w:r>
        <w:rPr>
          <w:rFonts w:ascii="Aptos" w:hAnsi="Aptos"/>
          <w:color w:val="1D1D1F"/>
          <w:sz w:val="20"/>
        </w:rPr>
        <w:t>Attachment Patterns and Emotional Regulation in Emerging Adulthood: A Thesis Chapter Sample</w:t>
      </w:r>
    </w:p>
    <w:p>
      <w:pPr>
        <w:widowControl/>
        <w:spacing w:before="160" w:after="80"/>
      </w:pPr>
      <w:r>
        <w:rPr>
          <w:rFonts w:ascii="Georgia" w:hAnsi="Georgia"/>
          <w:b/>
          <w:color w:val="132039"/>
          <w:sz w:val="26"/>
        </w:rPr>
        <w:t>Chapter Abstract</w:t>
      </w:r>
    </w:p>
    <w:p>
      <w:pPr>
        <w:widowControl/>
        <w:spacing w:line="259" w:lineRule="auto" w:after="120"/>
        <w:jc w:val="both"/>
      </w:pPr>
      <w:r>
        <w:rPr>
          <w:rFonts w:ascii="Aptos" w:hAnsi="Aptos"/>
          <w:color w:val="1D1D1F"/>
          <w:sz w:val="20"/>
        </w:rPr>
        <w:t>This chapter examines the relationship between attachment patterns and emotional regulation during emerging adulthood. It argues that attachment should not be reduced to childhood history alone, but understood as an active interpersonal framework that continues to shape appraisal, coping, help-seeking, and self-regulatory strategies in university and early-career contexts. The chapter reviews theoretical assumptions, developmental transitions, cognitive-affective mechanisms, and implications for research design. Particular attention is given to the way secure, anxious, avoidant, and disorganized patterns may influence emotional awareness, tolerance of distress, interpersonal disclosure, and academic functioning. The text is fictional and was created as a professional translation sample for academic documentation.</w:t>
      </w:r>
    </w:p>
    <w:p>
      <w:pPr>
        <w:widowControl/>
        <w:spacing w:before="160" w:after="80"/>
      </w:pPr>
      <w:r>
        <w:rPr>
          <w:rFonts w:ascii="Georgia" w:hAnsi="Georgia"/>
          <w:b/>
          <w:color w:val="132039"/>
          <w:sz w:val="26"/>
        </w:rPr>
        <w:t>1. Introduction</w:t>
      </w:r>
    </w:p>
    <w:p>
      <w:pPr>
        <w:widowControl/>
        <w:spacing w:line="259" w:lineRule="auto" w:after="120"/>
        <w:jc w:val="both"/>
      </w:pPr>
      <w:r>
        <w:rPr>
          <w:rFonts w:ascii="Aptos" w:hAnsi="Aptos"/>
          <w:color w:val="1D1D1F"/>
          <w:sz w:val="20"/>
        </w:rPr>
        <w:t>Emerging adulthood is a developmental period characterized by instability, exploration, and progressive reorganization of identity, work, intimacy, and autonomy. For many individuals, this period coincides with university education, relocation, financial uncertainty, and the first sustained attempt to build a coherent adult life. These transitions are not merely practical; they also require constant emotional regulation. Students must tolerate uncertainty, delay gratification, seek support, manage failure, and maintain motivation even when social and academic structures are changing rapidly.</w:t>
      </w:r>
    </w:p>
    <w:p>
      <w:pPr>
        <w:widowControl/>
        <w:spacing w:line="259" w:lineRule="auto" w:after="120"/>
        <w:jc w:val="both"/>
      </w:pPr>
      <w:r>
        <w:rPr>
          <w:rFonts w:ascii="Aptos" w:hAnsi="Aptos"/>
          <w:color w:val="1D1D1F"/>
          <w:sz w:val="20"/>
        </w:rPr>
        <w:t>Attachment theory provides a useful framework for understanding why some emerging adults approach these transitions with confidence and relational openness, whereas others respond with hypervigilance, withdrawal, or disorganized coping. In its classical formulation, attachment describes the internal working models through which individuals anticipate the availability of significant others and regulate distress in proximity-seeking situations. In adulthood, these models do not disappear. They are transformed into expectations about trust, dependence, intimacy, rejection, autonomy, and emotional expression.</w:t>
      </w:r>
    </w:p>
    <w:p>
      <w:pPr>
        <w:widowControl/>
        <w:spacing w:line="259" w:lineRule="auto" w:after="120"/>
        <w:jc w:val="both"/>
      </w:pPr>
      <w:r>
        <w:rPr>
          <w:rFonts w:ascii="Aptos" w:hAnsi="Aptos"/>
          <w:color w:val="1D1D1F"/>
          <w:sz w:val="20"/>
        </w:rPr>
        <w:t>The present chapter focuses on the intersection between attachment and emotional regulation. This intersection is particularly relevant for academic and clinical contexts because university students frequently present with anxiety symptoms, sleep disruption, procrastination, interpersonal conflict, and fluctuations in self-worth. While these problems are often discussed as isolated symptoms, they may also represent different expressions of underlying regulatory strategies. A student who repeatedly avoids feedback may not simply be lazy; avoidance may function as a defensive strategy against shame. Another student who excessively seeks reassurance may not simply lack discipline; reassurance seeking may regulate fear of abandonment or failure.</w:t>
      </w:r>
    </w:p>
    <w:p>
      <w:pPr>
        <w:widowControl/>
        <w:spacing w:before="160" w:after="80"/>
      </w:pPr>
      <w:r>
        <w:rPr>
          <w:rFonts w:ascii="Georgia" w:hAnsi="Georgia"/>
          <w:b/>
          <w:color w:val="132039"/>
          <w:sz w:val="26"/>
        </w:rPr>
        <w:t>2. Conceptual Background</w:t>
      </w:r>
    </w:p>
    <w:p>
      <w:pPr>
        <w:widowControl/>
        <w:spacing w:line="259" w:lineRule="auto" w:after="120"/>
        <w:jc w:val="both"/>
      </w:pPr>
      <w:r>
        <w:rPr>
          <w:rFonts w:ascii="Aptos" w:hAnsi="Aptos"/>
          <w:color w:val="1D1D1F"/>
          <w:sz w:val="20"/>
        </w:rPr>
        <w:t>Attachment patterns are commonly described along dimensions of anxiety and avoidance. Secure attachment is associated with confidence in the availability of others, flexible exploration, and a balanced capacity to seek support while preserving autonomy. Anxious attachment is associated with heightened sensitivity to signs of rejection, intense need for reassurance, and difficulty down-regulating distress. Avoidant attachment is associated with discomfort with dependence, suppression of emotional needs, and preference for self-reliance even when support would be adaptive. Disorganized attachment involves contradictory strategies, fear without solution, and difficulty integrating proximity and safety.</w:t>
      </w:r>
    </w:p>
    <w:p>
      <w:pPr>
        <w:widowControl/>
        <w:spacing w:line="259" w:lineRule="auto" w:after="120"/>
        <w:jc w:val="both"/>
      </w:pPr>
      <w:r>
        <w:rPr>
          <w:rFonts w:ascii="Aptos" w:hAnsi="Aptos"/>
          <w:color w:val="1D1D1F"/>
          <w:sz w:val="20"/>
        </w:rPr>
        <w:t>Emotional regulation refers to the processes through which individuals monitor, evaluate, and modify emotional responses in order to pursue goals. Regulation may occur before, during, or after the emotional response. It may involve attentional deployment, cognitive reappraisal, problem solving, acceptance, suppression, rumination, avoidance, or interpersonal support. No strategy is universally adaptive or maladaptive. The same strategy may function differently depending on context, intensity, timing, and flexibility.</w:t>
      </w:r>
    </w:p>
    <w:p>
      <w:pPr>
        <w:widowControl/>
        <w:spacing w:line="259" w:lineRule="auto" w:after="120"/>
        <w:jc w:val="both"/>
      </w:pPr>
      <w:r>
        <w:rPr>
          <w:rFonts w:ascii="Aptos" w:hAnsi="Aptos"/>
          <w:color w:val="1D1D1F"/>
          <w:sz w:val="20"/>
        </w:rPr>
        <w:t>The central argument of this chapter is that attachment patterns influence emotional regulation not by determining behavior in a rigid way, but by shaping what the individual expects from emotion, from other people, and from the self. Securely attached individuals are more likely to perceive distress as tolerable and communicable. They can seek support without experiencing dependence as humiliation. They can be alone without interpreting solitude as abandonment. By contrast, insecure attachment may transform ordinary academic stress into confirmation of relational danger or personal inadequacy.</w:t>
      </w:r>
    </w:p>
    <w:p>
      <w:pPr>
        <w:widowControl/>
        <w:spacing w:before="160" w:after="80"/>
      </w:pPr>
      <w:r>
        <w:rPr>
          <w:rFonts w:ascii="Georgia" w:hAnsi="Georgia"/>
          <w:b/>
          <w:color w:val="132039"/>
          <w:sz w:val="26"/>
        </w:rPr>
        <w:t>3. Attachment Anxiety and Hyperactivating Strategies</w:t>
      </w:r>
    </w:p>
    <w:p>
      <w:pPr>
        <w:widowControl/>
        <w:spacing w:line="259" w:lineRule="auto" w:after="120"/>
        <w:jc w:val="both"/>
      </w:pPr>
      <w:r>
        <w:rPr>
          <w:rFonts w:ascii="Aptos" w:hAnsi="Aptos"/>
          <w:color w:val="1D1D1F"/>
          <w:sz w:val="20"/>
        </w:rPr>
        <w:t>Attachment anxiety is often associated with hyperactivating strategies. These strategies amplify emotional signals in order to maintain proximity and obtain reassurance. In an academic context, hyperactivation may appear as repeated checking of messages, excessive concern about teachers' evaluations, difficulty concentrating after interpersonal ambiguity, or intense emotional reactions to minor academic setbacks. The student may interpret delayed feedback as evidence of rejection or failure rather than as an ordinary administrative delay.</w:t>
      </w:r>
    </w:p>
    <w:p>
      <w:pPr>
        <w:widowControl/>
        <w:spacing w:line="259" w:lineRule="auto" w:after="120"/>
        <w:jc w:val="both"/>
      </w:pPr>
      <w:r>
        <w:rPr>
          <w:rFonts w:ascii="Aptos" w:hAnsi="Aptos"/>
          <w:color w:val="1D1D1F"/>
          <w:sz w:val="20"/>
        </w:rPr>
        <w:t>Hyperactivating strategies can produce short-term relief when reassurance is obtained, but they tend to maintain emotional dependency over time. Because reassurance reduces anxiety temporarily, the individual may become less confident in their own capacity to tolerate uncertainty. This mechanism is relevant for research on procrastination, academic anxiety, and burnout. The student may not avoid work because the task is cognitively impossible; rather, the task becomes emotionally saturated with fears of judgment, abandonment, or exposure.</w:t>
      </w:r>
    </w:p>
    <w:p>
      <w:pPr>
        <w:widowControl/>
        <w:spacing w:before="160" w:after="80"/>
      </w:pPr>
      <w:r>
        <w:rPr>
          <w:rFonts w:ascii="Georgia" w:hAnsi="Georgia"/>
          <w:b/>
          <w:color w:val="132039"/>
          <w:sz w:val="26"/>
        </w:rPr>
        <w:t>4. Attachment Avoidance and Deactivating Strategies</w:t>
      </w:r>
    </w:p>
    <w:p>
      <w:pPr>
        <w:widowControl/>
        <w:spacing w:line="259" w:lineRule="auto" w:after="120"/>
        <w:jc w:val="both"/>
      </w:pPr>
      <w:r>
        <w:rPr>
          <w:rFonts w:ascii="Aptos" w:hAnsi="Aptos"/>
          <w:color w:val="1D1D1F"/>
          <w:sz w:val="20"/>
        </w:rPr>
        <w:t>Attachment avoidance is commonly associated with deactivating strategies. Instead of amplifying emotion, the individual minimizes, suppresses, or dismisses emotional needs. In emerging adulthood, this may look like excessive self-reliance, reluctance to ask for help, emotional distancing from peers, or intellectualization of distress. The student may describe everything as 'fine' while becoming increasingly isolated, exhausted, or disengaged from academic life.</w:t>
      </w:r>
    </w:p>
    <w:p>
      <w:pPr>
        <w:widowControl/>
        <w:spacing w:line="259" w:lineRule="auto" w:after="120"/>
        <w:jc w:val="both"/>
      </w:pPr>
      <w:r>
        <w:rPr>
          <w:rFonts w:ascii="Aptos" w:hAnsi="Aptos"/>
          <w:color w:val="1D1D1F"/>
          <w:sz w:val="20"/>
        </w:rPr>
        <w:t>Deactivating strategies may be culturally reinforced in environments that value independence and performance. A student who never asks for help may be perceived as mature, disciplined, or strong. However, the absence of overt distress does not necessarily indicate effective regulation. Suppression can reduce visible emotional expression while increasing physiological arousal, cognitive load, and long-term vulnerability. From a translation standpoint, this distinction matters because terms such as 'self-reliance,' 'avoidance,' 'suppression,' and 'autonomy' must not be treated as synonyms.</w:t>
      </w:r>
    </w:p>
    <w:p>
      <w:pPr>
        <w:widowControl/>
        <w:spacing w:before="160" w:after="80"/>
      </w:pPr>
      <w:r>
        <w:rPr>
          <w:rFonts w:ascii="Georgia" w:hAnsi="Georgia"/>
          <w:b/>
          <w:color w:val="132039"/>
          <w:sz w:val="26"/>
        </w:rPr>
        <w:t>5. Emotional Regulation and Academic Functioning</w:t>
      </w:r>
    </w:p>
    <w:p>
      <w:pPr>
        <w:widowControl/>
        <w:spacing w:line="259" w:lineRule="auto" w:after="120"/>
        <w:jc w:val="both"/>
      </w:pPr>
      <w:r>
        <w:rPr>
          <w:rFonts w:ascii="Aptos" w:hAnsi="Aptos"/>
          <w:color w:val="1D1D1F"/>
          <w:sz w:val="20"/>
        </w:rPr>
        <w:t>Academic performance is influenced by cognitive ability, study habits, socioeconomic conditions, institutional support, sleep, and mental health. Attachment and regulation do not replace these variables, but they help explain how students respond to pressure. Two students may face the same examination; one may experience manageable activation and use planning strategies, while another may experience the same examination as a threat to identity and relational worth. The difference lies not only in knowledge, but also in appraisal and regulation.</w:t>
      </w:r>
    </w:p>
    <w:p>
      <w:pPr>
        <w:widowControl/>
        <w:spacing w:line="259" w:lineRule="auto" w:after="120"/>
        <w:jc w:val="both"/>
      </w:pPr>
      <w:r>
        <w:rPr>
          <w:rFonts w:ascii="Aptos" w:hAnsi="Aptos"/>
          <w:color w:val="1D1D1F"/>
          <w:sz w:val="20"/>
        </w:rPr>
        <w:t>Emotion regulation also influences help-seeking. Secure students may approach professors, tutors, or peers when they encounter difficulty. Anxiously attached students may seek help repeatedly, but in a way that focuses more on reassurance than learning. Avoidantly attached students may delay help-seeking until the problem has become severe. Disorganized patterns may produce inconsistent behavior: urgent disclosure followed by withdrawal, or intense dependence followed by abrupt rejection of support.</w:t>
      </w:r>
    </w:p>
    <w:p>
      <w:pPr>
        <w:widowControl/>
        <w:spacing w:before="160" w:after="80"/>
      </w:pPr>
      <w:r>
        <w:rPr>
          <w:rFonts w:ascii="Georgia" w:hAnsi="Georgia"/>
          <w:b/>
          <w:color w:val="132039"/>
          <w:sz w:val="26"/>
        </w:rPr>
        <w:t>6. Research Implications</w:t>
      </w:r>
    </w:p>
    <w:p>
      <w:pPr>
        <w:widowControl/>
        <w:spacing w:line="259" w:lineRule="auto" w:after="120"/>
        <w:jc w:val="both"/>
      </w:pPr>
      <w:r>
        <w:rPr>
          <w:rFonts w:ascii="Aptos" w:hAnsi="Aptos"/>
          <w:color w:val="1D1D1F"/>
          <w:sz w:val="20"/>
        </w:rPr>
        <w:t>A thesis that investigates attachment and emotional regulation should avoid simplistic causal language. Attachment patterns are not diagnostic labels, and emotional regulation strategies are not fixed traits. They are probabilistic tendencies shaped by relational history, current stressors, culture, gender expectations, institutional context, and mental health status. Quantitative studies may examine associations between attachment dimensions, emotion regulation scales, anxiety symptoms, and academic outcomes. Qualitative studies may explore how students narrate support, autonomy, shame, and failure.</w:t>
      </w:r>
    </w:p>
    <w:p>
      <w:pPr>
        <w:widowControl/>
        <w:spacing w:line="259" w:lineRule="auto" w:after="120"/>
        <w:jc w:val="both"/>
      </w:pPr>
      <w:r>
        <w:rPr>
          <w:rFonts w:ascii="Aptos" w:hAnsi="Aptos"/>
          <w:color w:val="1D1D1F"/>
          <w:sz w:val="20"/>
        </w:rPr>
        <w:t>Methodologically, researchers should consider mixed designs. Standardized scales can identify patterns across groups, while interviews can reveal the meanings students assign to emotional experiences. A mixed approach is especially useful because the same external behavior may have different psychological functions. Silence may indicate calmness, avoidance, fatigue, cultural reserve, or mistrust. Frequent messaging may indicate collaboration, insecurity, social support, or dependency. Without contextual interpretation, data may be accurate but psychologically thin.</w:t>
      </w:r>
    </w:p>
    <w:p>
      <w:pPr>
        <w:widowControl/>
        <w:spacing w:before="160" w:after="80"/>
      </w:pPr>
      <w:r>
        <w:rPr>
          <w:rFonts w:ascii="Georgia" w:hAnsi="Georgia"/>
          <w:b/>
          <w:color w:val="132039"/>
          <w:sz w:val="26"/>
        </w:rPr>
        <w:t>7. Conclusion</w:t>
      </w:r>
    </w:p>
    <w:p>
      <w:pPr>
        <w:widowControl/>
        <w:spacing w:line="259" w:lineRule="auto" w:after="120"/>
        <w:jc w:val="both"/>
      </w:pPr>
      <w:r>
        <w:rPr>
          <w:rFonts w:ascii="Aptos" w:hAnsi="Aptos"/>
          <w:color w:val="1D1D1F"/>
          <w:sz w:val="20"/>
        </w:rPr>
        <w:t>Attachment and emotional regulation offer a powerful framework for understanding emerging adulthood. They illuminate how relational expectations become regulatory strategies and how these strategies influence academic life. The most useful perspective is neither deterministic nor pathologizing. Secure attachment does not eliminate distress, and insecure attachment does not condemn the individual to dysfunction. Rather, attachment patterns describe preferred ways of managing vulnerability. In academic settings, recognizing these patterns can improve research design, student support, clinical formulation, and translation of psychological terminology across languages.</w:t>
      </w:r>
    </w:p>
    <w:p>
      <w:pPr>
        <w:widowControl/>
      </w:pPr>
      <w:r>
        <w:br w:type="page"/>
      </w:r>
    </w:p>
    <w:p>
      <w:pPr>
        <w:widowControl/>
        <w:spacing w:before="240" w:after="60"/>
      </w:pPr>
      <w:r>
        <w:rPr>
          <w:rFonts w:ascii="Georgia" w:hAnsi="Georgia"/>
          <w:b/>
          <w:color w:val="132039"/>
          <w:sz w:val="36"/>
        </w:rPr>
        <w:t>Complete Translation - Spanish</w:t>
      </w:r>
    </w:p>
    <w:p>
      <w:pPr>
        <w:widowControl/>
        <w:spacing w:after="200"/>
      </w:pPr>
      <w:r>
        <w:rPr>
          <w:rFonts w:ascii="Aptos" w:hAnsi="Aptos"/>
          <w:color w:val="5E6673"/>
          <w:sz w:val="20"/>
        </w:rPr>
        <w:t>Continuous target-language version as it would be delivered to a client</w:t>
      </w:r>
    </w:p>
    <w:p>
      <w:pPr>
        <w:spacing w:after="240"/>
        <w:widowControl/>
        <w:pBdr>
          <w:bottom w:val="single" w:sz="12" w:space="1" w:color="D9B04C"/>
        </w:pBdr>
      </w:pPr>
      <w:r/>
    </w:p>
    <w:p>
      <w:pPr>
        <w:widowControl/>
        <w:spacing w:before="160" w:after="80"/>
      </w:pPr>
      <w:r>
        <w:rPr>
          <w:rFonts w:ascii="Georgia" w:hAnsi="Georgia"/>
          <w:b/>
          <w:color w:val="132039"/>
          <w:sz w:val="26"/>
        </w:rPr>
        <w:t>Título del capítulo</w:t>
      </w:r>
    </w:p>
    <w:p>
      <w:pPr>
        <w:widowControl/>
        <w:spacing w:line="259" w:lineRule="auto" w:after="120"/>
        <w:jc w:val="both"/>
      </w:pPr>
      <w:r>
        <w:rPr>
          <w:rFonts w:ascii="Aptos" w:hAnsi="Aptos"/>
          <w:color w:val="1D1D1F"/>
          <w:sz w:val="20"/>
        </w:rPr>
        <w:t>Patrones de apego y regulación emocional en la adultez emergente: muestra de capítulo de tesis</w:t>
      </w:r>
    </w:p>
    <w:p>
      <w:pPr>
        <w:widowControl/>
        <w:spacing w:before="160" w:after="80"/>
      </w:pPr>
      <w:r>
        <w:rPr>
          <w:rFonts w:ascii="Georgia" w:hAnsi="Georgia"/>
          <w:b/>
          <w:color w:val="132039"/>
          <w:sz w:val="26"/>
        </w:rPr>
        <w:t>Resumen del capítulo</w:t>
      </w:r>
    </w:p>
    <w:p>
      <w:pPr>
        <w:widowControl/>
        <w:spacing w:line="259" w:lineRule="auto" w:after="120"/>
        <w:jc w:val="both"/>
      </w:pPr>
      <w:r>
        <w:rPr>
          <w:rFonts w:ascii="Aptos" w:hAnsi="Aptos"/>
          <w:color w:val="1D1D1F"/>
          <w:sz w:val="20"/>
        </w:rPr>
        <w:t>Este capítulo examina la relación entre los patrones de apego y la regulación emocional durante la adultez emergente. Sostiene que el apego no debe reducirse únicamente a la historia infantil, sino comprenderse como un marco interpersonal activo que continúa moldeando la valoración, el afrontamiento, la búsqueda de ayuda y las estrategias de autorregulación en contextos universitarios y de inicio profesional. El capítulo revisa supuestos teóricos, transiciones del desarrollo, mecanismos cognitivo-afectivos e implicaciones para el diseño de investigación. Se presta especial atención al modo en que los patrones seguro, ansioso, evitativo y desorganizado pueden influir en la conciencia emocional, la tolerancia al malestar, la revelación interpersonal y el funcionamiento académico. El texto es ficticio y fue creado como muestra profesional de traducción para documentación académica.</w:t>
      </w:r>
    </w:p>
    <w:p>
      <w:pPr>
        <w:widowControl/>
        <w:spacing w:before="160" w:after="80"/>
      </w:pPr>
      <w:r>
        <w:rPr>
          <w:rFonts w:ascii="Georgia" w:hAnsi="Georgia"/>
          <w:b/>
          <w:color w:val="132039"/>
          <w:sz w:val="26"/>
        </w:rPr>
        <w:t>1. Introducción</w:t>
      </w:r>
    </w:p>
    <w:p>
      <w:pPr>
        <w:widowControl/>
        <w:spacing w:line="259" w:lineRule="auto" w:after="120"/>
        <w:jc w:val="both"/>
      </w:pPr>
      <w:r>
        <w:rPr>
          <w:rFonts w:ascii="Aptos" w:hAnsi="Aptos"/>
          <w:color w:val="1D1D1F"/>
          <w:sz w:val="20"/>
        </w:rPr>
        <w:t>La adultez emergente es un periodo del desarrollo caracterizado por inestabilidad, exploración y reorganización progresiva de la identidad, el trabajo, la intimidad y la autonomía. Para muchas personas, este periodo coincide con la educación universitaria, el cambio de residencia, la incertidumbre económica y el primer intento sostenido de construir una vida adulta coherente. Estas transiciones no son meramente prácticas; también requieren una regulación emocional constante. Los estudiantes deben tolerar la incertidumbre, demorar la gratificación, buscar apoyo, manejar el fracaso y mantener la motivación incluso cuando las estructuras sociales y académicas cambian con rapidez.</w:t>
      </w:r>
    </w:p>
    <w:p>
      <w:pPr>
        <w:widowControl/>
        <w:spacing w:line="259" w:lineRule="auto" w:after="120"/>
        <w:jc w:val="both"/>
      </w:pPr>
      <w:r>
        <w:rPr>
          <w:rFonts w:ascii="Aptos" w:hAnsi="Aptos"/>
          <w:color w:val="1D1D1F"/>
          <w:sz w:val="20"/>
        </w:rPr>
        <w:t>La teoría del apego ofrece un marco útil para comprender por qué algunos adultos emergentes afrontan estas transiciones con confianza y apertura relacional, mientras que otros responden con hipervigilancia, retraimiento o afrontamiento desorganizado. En su formulación clásica, el apego describe los modelos operativos internos mediante los cuales las personas anticipan la disponibilidad de otros significativos y regulan el malestar en situaciones de búsqueda de proximidad. En la adultez, estos modelos no desaparecen. Se transforman en expectativas sobre la confianza, la dependencia, la intimidad, el rechazo, la autonomía y la expresión emocional.</w:t>
      </w:r>
    </w:p>
    <w:p>
      <w:pPr>
        <w:widowControl/>
        <w:spacing w:line="259" w:lineRule="auto" w:after="120"/>
        <w:jc w:val="both"/>
      </w:pPr>
      <w:r>
        <w:rPr>
          <w:rFonts w:ascii="Aptos" w:hAnsi="Aptos"/>
          <w:color w:val="1D1D1F"/>
          <w:sz w:val="20"/>
        </w:rPr>
        <w:t>El presente capítulo se centra en la intersección entre apego y regulación emocional. Esta intersección es particularmente relevante para contextos académicos y clínicos porque los estudiantes universitarios suelen presentar síntomas de ansiedad, alteraciones del sueño, procrastinación, conflicto interpersonal y fluctuaciones en la autoestima. Aunque estos problemas suelen discutirse como síntomas aislados, también pueden representar distintas expresiones de estrategias regulatorias subyacentes. Un estudiante que evita repetidamente la retroalimentación quizá no sea simplemente perezoso; la evitación puede funcionar como una estrategia defensiva frente a la vergüenza. Otro estudiante que busca tranquilidad de manera excesiva quizá no carezca simplemente de disciplina; la búsqueda de reaseguramiento puede regular el miedo al abandono o al fracaso.</w:t>
      </w:r>
    </w:p>
    <w:p>
      <w:pPr>
        <w:widowControl/>
        <w:spacing w:before="160" w:after="80"/>
      </w:pPr>
      <w:r>
        <w:rPr>
          <w:rFonts w:ascii="Georgia" w:hAnsi="Georgia"/>
          <w:b/>
          <w:color w:val="132039"/>
          <w:sz w:val="26"/>
        </w:rPr>
        <w:t>2. Antecedentes conceptuales</w:t>
      </w:r>
    </w:p>
    <w:p>
      <w:pPr>
        <w:widowControl/>
        <w:spacing w:line="259" w:lineRule="auto" w:after="120"/>
        <w:jc w:val="both"/>
      </w:pPr>
      <w:r>
        <w:rPr>
          <w:rFonts w:ascii="Aptos" w:hAnsi="Aptos"/>
          <w:color w:val="1D1D1F"/>
          <w:sz w:val="20"/>
        </w:rPr>
        <w:t>Los patrones de apego suelen describirse a lo largo de las dimensiones de ansiedad y evitación. El apego seguro se asocia con confianza en la disponibilidad de los demás, exploración flexible y una capacidad equilibrada para buscar apoyo sin perder autonomía. El apego ansioso se asocia con una sensibilidad elevada ante señales de rechazo, una intensa necesidad de reaseguramiento y dificultad para disminuir el malestar. El apego evitativo se asocia con incomodidad frente a la dependencia, supresión de necesidades emocionales y preferencia por la autosuficiencia incluso cuando el apoyo sería adaptativo. El apego desorganizado implica estrategias contradictorias, miedo sin solución y dificultad para integrar proximidad y seguridad.</w:t>
      </w:r>
    </w:p>
    <w:p>
      <w:pPr>
        <w:widowControl/>
        <w:spacing w:line="259" w:lineRule="auto" w:after="120"/>
        <w:jc w:val="both"/>
      </w:pPr>
      <w:r>
        <w:rPr>
          <w:rFonts w:ascii="Aptos" w:hAnsi="Aptos"/>
          <w:color w:val="1D1D1F"/>
          <w:sz w:val="20"/>
        </w:rPr>
        <w:t>La regulación emocional se refiere a los procesos mediante los cuales las personas monitorean, evalúan y modifican sus respuestas emocionales para perseguir metas. La regulación puede ocurrir antes, durante o después de la respuesta emocional. Puede implicar despliegue atencional, reevaluación cognitiva, resolución de problemas, aceptación, supresión, rumiación, evitación o apoyo interpersonal. Ninguna estrategia es universalmente adaptativa o desadaptativa. La misma estrategia puede funcionar de manera distinta según el contexto, la intensidad, el momento y la flexibilidad.</w:t>
      </w:r>
    </w:p>
    <w:p>
      <w:pPr>
        <w:widowControl/>
        <w:spacing w:line="259" w:lineRule="auto" w:after="120"/>
        <w:jc w:val="both"/>
      </w:pPr>
      <w:r>
        <w:rPr>
          <w:rFonts w:ascii="Aptos" w:hAnsi="Aptos"/>
          <w:color w:val="1D1D1F"/>
          <w:sz w:val="20"/>
        </w:rPr>
        <w:t>El argumento central de este capítulo es que los patrones de apego influyen en la regulación emocional no determinando la conducta de forma rígida, sino moldeando lo que la persona espera de la emoción, de los demás y de sí misma. Las personas con apego seguro tienen mayor probabilidad de percibir el malestar como tolerable y comunicable. Pueden buscar apoyo sin experimentar la dependencia como humillación. Pueden estar solas sin interpretar la soledad como abandono. En contraste, el apego inseguro puede transformar el estrés académico ordinario en confirmación de peligro relacional o de insuficiencia personal.</w:t>
      </w:r>
    </w:p>
    <w:p>
      <w:pPr>
        <w:widowControl/>
        <w:spacing w:before="160" w:after="80"/>
      </w:pPr>
      <w:r>
        <w:rPr>
          <w:rFonts w:ascii="Georgia" w:hAnsi="Georgia"/>
          <w:b/>
          <w:color w:val="132039"/>
          <w:sz w:val="26"/>
        </w:rPr>
        <w:t>3. Ansiedad de apego y estrategias hiperactivadoras</w:t>
      </w:r>
    </w:p>
    <w:p>
      <w:pPr>
        <w:widowControl/>
        <w:spacing w:line="259" w:lineRule="auto" w:after="120"/>
        <w:jc w:val="both"/>
      </w:pPr>
      <w:r>
        <w:rPr>
          <w:rFonts w:ascii="Aptos" w:hAnsi="Aptos"/>
          <w:color w:val="1D1D1F"/>
          <w:sz w:val="20"/>
        </w:rPr>
        <w:t>La ansiedad de apego suele asociarse con estrategias hiperactivadoras. Estas estrategias amplifican las señales emocionales para mantener la proximidad y obtener reaseguramiento. En un contexto académico, la hiperactivación puede manifestarse como revisión repetida de mensajes, preocupación excesiva por las evaluaciones de los docentes, dificultad para concentrarse después de una ambigüedad interpersonal o reacciones emocionales intensas ante contratiempos académicos menores. El estudiante puede interpretar una retroalimentación demorada como evidencia de rechazo o fracaso, en lugar de considerarla una demora administrativa ordinaria.</w:t>
      </w:r>
    </w:p>
    <w:p>
      <w:pPr>
        <w:widowControl/>
        <w:spacing w:line="259" w:lineRule="auto" w:after="120"/>
        <w:jc w:val="both"/>
      </w:pPr>
      <w:r>
        <w:rPr>
          <w:rFonts w:ascii="Aptos" w:hAnsi="Aptos"/>
          <w:color w:val="1D1D1F"/>
          <w:sz w:val="20"/>
        </w:rPr>
        <w:t>Las estrategias hiperactivadoras pueden producir alivio a corto plazo cuando se obtiene reaseguramiento, pero tienden a mantener la dependencia emocional con el tiempo. Debido a que el reaseguramiento reduce temporalmente la ansiedad, la persona puede volverse menos confiada en su propia capacidad para tolerar la incertidumbre. Este mecanismo es relevante para la investigación sobre procrastinación, ansiedad académica y agotamiento. El estudiante quizá no evita el trabajo porque la tarea sea cognitivamente imposible; más bien, la tarea queda emocionalmente saturada de temores de juicio, abandono o exposición.</w:t>
      </w:r>
    </w:p>
    <w:p>
      <w:pPr>
        <w:widowControl/>
        <w:spacing w:before="160" w:after="80"/>
      </w:pPr>
      <w:r>
        <w:rPr>
          <w:rFonts w:ascii="Georgia" w:hAnsi="Georgia"/>
          <w:b/>
          <w:color w:val="132039"/>
          <w:sz w:val="26"/>
        </w:rPr>
        <w:t>4. Evitación de apego y estrategias desactivadoras</w:t>
      </w:r>
    </w:p>
    <w:p>
      <w:pPr>
        <w:widowControl/>
        <w:spacing w:line="259" w:lineRule="auto" w:after="120"/>
        <w:jc w:val="both"/>
      </w:pPr>
      <w:r>
        <w:rPr>
          <w:rFonts w:ascii="Aptos" w:hAnsi="Aptos"/>
          <w:color w:val="1D1D1F"/>
          <w:sz w:val="20"/>
        </w:rPr>
        <w:t>La evitación de apego suele asociarse con estrategias desactivadoras. En lugar de amplificar la emoción, la persona minimiza, suprime o desestima sus necesidades emocionales. En la adultez emergente, esto puede verse como autosuficiencia excesiva, resistencia a pedir ayuda, distanciamiento emocional de los pares o intelectualización del malestar. El estudiante puede describir todo como 'bien' mientras se vuelve cada vez más aislado, agotado o desconectado de la vida académica.</w:t>
      </w:r>
    </w:p>
    <w:p>
      <w:pPr>
        <w:widowControl/>
        <w:spacing w:line="259" w:lineRule="auto" w:after="120"/>
        <w:jc w:val="both"/>
      </w:pPr>
      <w:r>
        <w:rPr>
          <w:rFonts w:ascii="Aptos" w:hAnsi="Aptos"/>
          <w:color w:val="1D1D1F"/>
          <w:sz w:val="20"/>
        </w:rPr>
        <w:t>Las estrategias desactivadoras pueden ser reforzadas culturalmente en entornos que valoran la independencia y el rendimiento. Un estudiante que nunca pide ayuda puede ser percibido como maduro, disciplinado o fuerte. Sin embargo, la ausencia de malestar manifiesto no indica necesariamente una regulación eficaz. La supresión puede reducir la expresión emocional visible mientras aumenta la activación fisiológica, la carga cognitiva y la vulnerabilidad a largo plazo. Desde el punto de vista de la traducción, esta distinción importa porque términos como 'autosuficiencia', 'evitación', 'supresión' y 'autonomía' no deben tratarse como sinónimos.</w:t>
      </w:r>
    </w:p>
    <w:p>
      <w:pPr>
        <w:widowControl/>
        <w:spacing w:before="160" w:after="80"/>
      </w:pPr>
      <w:r>
        <w:rPr>
          <w:rFonts w:ascii="Georgia" w:hAnsi="Georgia"/>
          <w:b/>
          <w:color w:val="132039"/>
          <w:sz w:val="26"/>
        </w:rPr>
        <w:t>5. Regulación emocional y funcionamiento académico</w:t>
      </w:r>
    </w:p>
    <w:p>
      <w:pPr>
        <w:widowControl/>
        <w:spacing w:line="259" w:lineRule="auto" w:after="120"/>
        <w:jc w:val="both"/>
      </w:pPr>
      <w:r>
        <w:rPr>
          <w:rFonts w:ascii="Aptos" w:hAnsi="Aptos"/>
          <w:color w:val="1D1D1F"/>
          <w:sz w:val="20"/>
        </w:rPr>
        <w:t>El rendimiento académico está influido por la capacidad cognitiva, los hábitos de estudio, las condiciones socioeconómicas, el apoyo institucional, el sueño y la salud mental. El apego y la regulación no sustituyen estas variables, pero ayudan a explicar cómo responden los estudiantes a la presión. Dos estudiantes pueden enfrentarse al mismo examen; uno puede experimentar una activación manejable y utilizar estrategias de planificación, mientras que otro puede vivir el mismo examen como una amenaza a la identidad y al valor relacional. La diferencia no reside solo en el conocimiento, sino también en la valoración y la regulación.</w:t>
      </w:r>
    </w:p>
    <w:p>
      <w:pPr>
        <w:widowControl/>
        <w:spacing w:line="259" w:lineRule="auto" w:after="120"/>
        <w:jc w:val="both"/>
      </w:pPr>
      <w:r>
        <w:rPr>
          <w:rFonts w:ascii="Aptos" w:hAnsi="Aptos"/>
          <w:color w:val="1D1D1F"/>
          <w:sz w:val="20"/>
        </w:rPr>
        <w:t>La regulación emocional también influye en la búsqueda de ayuda. Los estudiantes seguros pueden acercarse a profesores, tutores o compañeros cuando encuentran dificultades. Los estudiantes con apego ansioso pueden buscar ayuda repetidamente, pero de una forma más centrada en el reaseguramiento que en el aprendizaje. Los estudiantes con apego evitativo pueden retrasar la búsqueda de ayuda hasta que el problema se vuelve grave. Los patrones desorganizados pueden producir conductas inconsistentes: revelación urgente seguida de retraimiento, o dependencia intensa seguida de rechazo abrupto del apoyo.</w:t>
      </w:r>
    </w:p>
    <w:p>
      <w:pPr>
        <w:widowControl/>
        <w:spacing w:before="160" w:after="80"/>
      </w:pPr>
      <w:r>
        <w:rPr>
          <w:rFonts w:ascii="Georgia" w:hAnsi="Georgia"/>
          <w:b/>
          <w:color w:val="132039"/>
          <w:sz w:val="26"/>
        </w:rPr>
        <w:t>6. Implicaciones para la investigación</w:t>
      </w:r>
    </w:p>
    <w:p>
      <w:pPr>
        <w:widowControl/>
        <w:spacing w:line="259" w:lineRule="auto" w:after="120"/>
        <w:jc w:val="both"/>
      </w:pPr>
      <w:r>
        <w:rPr>
          <w:rFonts w:ascii="Aptos" w:hAnsi="Aptos"/>
          <w:color w:val="1D1D1F"/>
          <w:sz w:val="20"/>
        </w:rPr>
        <w:t>Una tesis que investigue el apego y la regulación emocional debe evitar el lenguaje causal simplista. Los patrones de apego no son etiquetas diagnósticas y las estrategias de regulación emocional no son rasgos fijos. Son tendencias probabilísticas moldeadas por la historia relacional, los estresores actuales, la cultura, las expectativas de género, el contexto institucional y el estado de salud mental. Los estudios cuantitativos pueden examinar asociaciones entre dimensiones de apego, escalas de regulación emocional, síntomas de ansiedad y resultados académicos. Los estudios cualitativos pueden explorar cómo los estudiantes narran el apoyo, la autonomía, la vergüenza y el fracaso.</w:t>
      </w:r>
    </w:p>
    <w:p>
      <w:pPr>
        <w:widowControl/>
        <w:spacing w:line="259" w:lineRule="auto" w:after="120"/>
        <w:jc w:val="both"/>
      </w:pPr>
      <w:r>
        <w:rPr>
          <w:rFonts w:ascii="Aptos" w:hAnsi="Aptos"/>
          <w:color w:val="1D1D1F"/>
          <w:sz w:val="20"/>
        </w:rPr>
        <w:t>Metodológicamente, los investigadores deberían considerar diseños mixtos. Las escalas estandarizadas pueden identificar patrones entre grupos, mientras que las entrevistas pueden revelar los significados que los estudiantes atribuyen a las experiencias emocionales. Un enfoque mixto resulta especialmente útil porque la misma conducta externa puede tener funciones psicológicas distintas. El silencio puede indicar calma, evitación, fatiga, reserva cultural o desconfianza. La mensajería frecuente puede indicar colaboración, inseguridad, apoyo social o dependencia. Sin interpretación contextual, los datos pueden ser precisos, pero psicológicamente pobres.</w:t>
      </w:r>
    </w:p>
    <w:p>
      <w:pPr>
        <w:widowControl/>
        <w:spacing w:before="160" w:after="80"/>
      </w:pPr>
      <w:r>
        <w:rPr>
          <w:rFonts w:ascii="Georgia" w:hAnsi="Georgia"/>
          <w:b/>
          <w:color w:val="132039"/>
          <w:sz w:val="26"/>
        </w:rPr>
        <w:t>7. Conclusión</w:t>
      </w:r>
    </w:p>
    <w:p>
      <w:pPr>
        <w:widowControl/>
        <w:spacing w:line="259" w:lineRule="auto" w:after="120"/>
        <w:jc w:val="both"/>
      </w:pPr>
      <w:r>
        <w:rPr>
          <w:rFonts w:ascii="Aptos" w:hAnsi="Aptos"/>
          <w:color w:val="1D1D1F"/>
          <w:sz w:val="20"/>
        </w:rPr>
        <w:t>El apego y la regulación emocional ofrecen un marco poderoso para comprender la adultez emergente. Iluminan cómo las expectativas relacionales se convierten en estrategias regulatorias y cómo estas estrategias influyen en la vida académica. La perspectiva más útil no es determinista ni patologizante. El apego seguro no elimina el malestar, y el apego inseguro no condena a la persona a la disfunción. Más bien, los patrones de apego describen formas preferidas de manejar la vulnerabilidad. En contextos académicos, reconocer estos patrones puede mejorar el diseño de investigación, el apoyo estudiantil, la formulación clínica y la traducción de terminología psicológica entre idiomas.</w:t>
      </w:r>
    </w:p>
    <w:p>
      <w:pPr>
        <w:widowControl/>
        <w:sectPr>
          <w:headerReference w:type="default" r:id="rId9"/>
          <w:footerReference w:type="default" r:id="rId10"/>
          <w:pgSz w:w="12240" w:h="15840"/>
          <w:pgMar w:top="936" w:right="936" w:bottom="936" w:left="936" w:header="720" w:footer="720" w:gutter="0"/>
          <w:cols w:space="720"/>
          <w:titlePg/>
          <w:docGrid w:linePitch="360"/>
        </w:sectPr>
      </w:pPr>
    </w:p>
    <w:p>
      <w:pPr>
        <w:widowControl/>
        <w:spacing w:before="240" w:after="60"/>
      </w:pPr>
      <w:r>
        <w:rPr>
          <w:rFonts w:ascii="Georgia" w:hAnsi="Georgia"/>
          <w:b/>
          <w:color w:val="132039"/>
          <w:sz w:val="36"/>
        </w:rPr>
        <w:t>Aligned Bilingual Translation Table</w:t>
      </w:r>
    </w:p>
    <w:p>
      <w:pPr>
        <w:widowControl/>
        <w:spacing w:after="200"/>
      </w:pPr>
      <w:r>
        <w:rPr>
          <w:rFonts w:ascii="Aptos" w:hAnsi="Aptos"/>
          <w:color w:val="5E6673"/>
          <w:sz w:val="20"/>
        </w:rPr>
        <w:t>English source and Spanish target aligned by paragraph</w:t>
      </w:r>
    </w:p>
    <w:p>
      <w:pPr>
        <w:spacing w:after="240"/>
        <w:widowControl/>
        <w:pBdr>
          <w:bottom w:val="single" w:sz="12" w:space="1" w:color="D9B04C"/>
        </w:pBdr>
      </w:pPr>
      <w:r/>
    </w:p>
    <w:tbl>
      <w:tblPr>
        <w:tblW w:type="auto" w:w="0"/>
        <w:jc w:val="center"/>
        <w:tblLook w:firstColumn="1" w:firstRow="1" w:lastColumn="0" w:lastRow="0" w:noHBand="0" w:noVBand="1" w:val="04A0"/>
        <w:tblBorders>
          <w:top w:val="single" w:sz="6" w:space="0" w:color="C6CDD8"/>
          <w:left w:val="single" w:sz="6" w:space="0" w:color="C6CDD8"/>
          <w:bottom w:val="single" w:sz="6" w:space="0" w:color="C6CDD8"/>
          <w:right w:val="single" w:sz="6" w:space="0" w:color="C6CDD8"/>
          <w:insideH w:val="single" w:sz="6" w:space="0" w:color="C6CDD8"/>
          <w:insideV w:val="single" w:sz="6" w:space="0" w:color="C6CDD8"/>
        </w:tblBorders>
      </w:tblPr>
      <w:tblGrid>
        <w:gridCol w:w="4800"/>
        <w:gridCol w:w="4800"/>
        <w:gridCol w:w="4800"/>
      </w:tblGrid>
      <w:tr>
        <w:tc>
          <w:tcPr>
            <w:tcW w:type="dxa" w:w="4800"/>
            <w:shd w:fill="132039"/>
            <w:tcMar>
              <w:top w:w="120" w:type="dxa"/>
              <w:start w:w="120" w:type="dxa"/>
              <w:bottom w:w="120" w:type="dxa"/>
              <w:end w:w="120" w:type="dxa"/>
            </w:tcMar>
          </w:tcPr>
          <w:p>
            <w:pPr>
              <w:spacing w:after="0" w:before="0"/>
            </w:pPr>
            <w:r/>
            <w:r>
              <w:rPr>
                <w:rFonts w:ascii="Aptos" w:hAnsi="Aptos"/>
                <w:b/>
                <w:color w:val="FFFFFF"/>
                <w:sz w:val="17"/>
              </w:rPr>
              <w:t>#</w:t>
            </w:r>
          </w:p>
        </w:tc>
        <w:tc>
          <w:tcPr>
            <w:tcW w:type="dxa" w:w="4800"/>
            <w:shd w:fill="132039"/>
            <w:tcMar>
              <w:top w:w="120" w:type="dxa"/>
              <w:start w:w="120" w:type="dxa"/>
              <w:bottom w:w="120" w:type="dxa"/>
              <w:end w:w="120" w:type="dxa"/>
            </w:tcMar>
          </w:tcPr>
          <w:p>
            <w:pPr>
              <w:spacing w:after="0" w:before="0"/>
            </w:pPr>
            <w:r/>
            <w:r>
              <w:rPr>
                <w:rFonts w:ascii="Aptos" w:hAnsi="Aptos"/>
                <w:b/>
                <w:color w:val="FFFFFF"/>
                <w:sz w:val="17"/>
              </w:rPr>
              <w:t>English Source</w:t>
            </w:r>
          </w:p>
        </w:tc>
        <w:tc>
          <w:tcPr>
            <w:tcW w:type="dxa" w:w="4800"/>
            <w:shd w:fill="132039"/>
            <w:tcMar>
              <w:top w:w="120" w:type="dxa"/>
              <w:start w:w="120" w:type="dxa"/>
              <w:bottom w:w="120" w:type="dxa"/>
              <w:end w:w="120" w:type="dxa"/>
            </w:tcMar>
          </w:tcPr>
          <w:p>
            <w:pPr>
              <w:spacing w:after="0" w:before="0"/>
            </w:pPr>
            <w:r/>
            <w:r>
              <w:rPr>
                <w:rFonts w:ascii="Aptos" w:hAnsi="Aptos"/>
                <w:b/>
                <w:color w:val="FFFFFF"/>
                <w:sz w:val="17"/>
              </w:rPr>
              <w:t>Spanish Translation</w:t>
            </w:r>
          </w:p>
        </w:tc>
      </w:tr>
      <w:tr>
        <w:tc>
          <w:tcPr>
            <w:tcW w:type="dxa" w:w="4800"/>
            <w:shd w:fill="F5F7FA"/>
          </w:tcPr>
          <w:p>
            <w:pPr>
              <w:spacing w:after="0" w:before="0"/>
            </w:pPr>
            <w:r/>
            <w:r>
              <w:rPr>
                <w:rFonts w:ascii="Aptos" w:hAnsi="Aptos"/>
                <w:b/>
                <w:color w:val="132039"/>
                <w:sz w:val="16"/>
              </w:rPr>
              <w:t>1</w:t>
            </w:r>
          </w:p>
        </w:tc>
        <w:tc>
          <w:tcPr>
            <w:tcW w:type="dxa" w:w="4800"/>
            <w:tcMar>
              <w:top w:w="90" w:type="dxa"/>
              <w:start w:w="90" w:type="dxa"/>
              <w:bottom w:w="90" w:type="dxa"/>
              <w:end w:w="90" w:type="dxa"/>
            </w:tcMar>
            <w:vAlign w:val="top"/>
          </w:tcPr>
          <w:p>
            <w:pPr>
              <w:spacing w:after="40"/>
            </w:pPr>
            <w:r/>
            <w:r>
              <w:rPr>
                <w:rFonts w:ascii="Aptos" w:hAnsi="Aptos"/>
                <w:b/>
                <w:color w:val="132039"/>
                <w:sz w:val="15"/>
              </w:rPr>
              <w:t>Chapter Title</w:t>
              <w:br/>
            </w:r>
            <w:r>
              <w:rPr>
                <w:rFonts w:ascii="Aptos" w:hAnsi="Aptos"/>
                <w:color w:val="1D1D1F"/>
                <w:sz w:val="14"/>
              </w:rPr>
              <w:t>Attachment Patterns and Emotional Regulation in Emerging Adulthood: A Thesis Chapter Sample</w:t>
            </w:r>
          </w:p>
        </w:tc>
        <w:tc>
          <w:tcPr>
            <w:tcW w:type="dxa" w:w="4800"/>
            <w:tcMar>
              <w:top w:w="90" w:type="dxa"/>
              <w:start w:w="90" w:type="dxa"/>
              <w:bottom w:w="90" w:type="dxa"/>
              <w:end w:w="90" w:type="dxa"/>
            </w:tcMar>
            <w:vAlign w:val="top"/>
          </w:tcPr>
          <w:p>
            <w:pPr>
              <w:spacing w:after="40"/>
            </w:pPr>
            <w:r/>
            <w:r>
              <w:rPr>
                <w:rFonts w:ascii="Aptos" w:hAnsi="Aptos"/>
                <w:b/>
                <w:color w:val="132039"/>
                <w:sz w:val="15"/>
              </w:rPr>
              <w:t>Título del capítulo</w:t>
              <w:br/>
            </w:r>
            <w:r>
              <w:rPr>
                <w:rFonts w:ascii="Aptos" w:hAnsi="Aptos"/>
                <w:color w:val="1D1D1F"/>
                <w:sz w:val="14"/>
              </w:rPr>
              <w:t>Patrones de apego y regulación emocional en la adultez emergente: muestra de capítulo de tesis</w:t>
            </w:r>
          </w:p>
        </w:tc>
      </w:tr>
      <w:tr>
        <w:tc>
          <w:tcPr>
            <w:tcW w:type="dxa" w:w="4800"/>
            <w:shd w:fill="F5F7FA"/>
          </w:tcPr>
          <w:p>
            <w:pPr>
              <w:spacing w:after="0" w:before="0"/>
            </w:pPr>
            <w:r/>
            <w:r>
              <w:rPr>
                <w:rFonts w:ascii="Aptos" w:hAnsi="Aptos"/>
                <w:b/>
                <w:color w:val="132039"/>
                <w:sz w:val="16"/>
              </w:rPr>
              <w:t>2</w:t>
            </w:r>
          </w:p>
        </w:tc>
        <w:tc>
          <w:tcPr>
            <w:tcW w:type="dxa" w:w="4800"/>
            <w:tcMar>
              <w:top w:w="90" w:type="dxa"/>
              <w:start w:w="90" w:type="dxa"/>
              <w:bottom w:w="90" w:type="dxa"/>
              <w:end w:w="90" w:type="dxa"/>
            </w:tcMar>
            <w:vAlign w:val="top"/>
          </w:tcPr>
          <w:p>
            <w:pPr>
              <w:spacing w:after="40"/>
            </w:pPr>
            <w:r/>
            <w:r>
              <w:rPr>
                <w:rFonts w:ascii="Aptos" w:hAnsi="Aptos"/>
                <w:b/>
                <w:color w:val="132039"/>
                <w:sz w:val="15"/>
              </w:rPr>
              <w:t>Chapter Abstract</w:t>
              <w:br/>
            </w:r>
            <w:r>
              <w:rPr>
                <w:rFonts w:ascii="Aptos" w:hAnsi="Aptos"/>
                <w:color w:val="1D1D1F"/>
                <w:sz w:val="14"/>
              </w:rPr>
              <w:t>This chapter examines the relationship between attachment patterns and emotional regulation during emerging adulthood. It argues that attachment should not be reduced to childhood history alone, but understood as an active interpersonal framework that continues to shape appraisal, coping, help-seeking, and self-regulatory strategies in university and early-career contexts. The chapter reviews theoretical assumptions, developmental transitions, cognitive-affective mechanisms, and implications for research design. Particular attention is given to the way secure, anxious, avoidant, and disorganized patterns may influence emotional awareness, tolerance of distress, interpersonal disclosure, and academic functioning. The text is fictional and was created as a professional translation sample for academic documentation.</w:t>
            </w:r>
          </w:p>
        </w:tc>
        <w:tc>
          <w:tcPr>
            <w:tcW w:type="dxa" w:w="4800"/>
            <w:tcMar>
              <w:top w:w="90" w:type="dxa"/>
              <w:start w:w="90" w:type="dxa"/>
              <w:bottom w:w="90" w:type="dxa"/>
              <w:end w:w="90" w:type="dxa"/>
            </w:tcMar>
            <w:vAlign w:val="top"/>
          </w:tcPr>
          <w:p>
            <w:pPr>
              <w:spacing w:after="40"/>
            </w:pPr>
            <w:r/>
            <w:r>
              <w:rPr>
                <w:rFonts w:ascii="Aptos" w:hAnsi="Aptos"/>
                <w:b/>
                <w:color w:val="132039"/>
                <w:sz w:val="15"/>
              </w:rPr>
              <w:t>Resumen del capítulo</w:t>
              <w:br/>
            </w:r>
            <w:r>
              <w:rPr>
                <w:rFonts w:ascii="Aptos" w:hAnsi="Aptos"/>
                <w:color w:val="1D1D1F"/>
                <w:sz w:val="14"/>
              </w:rPr>
              <w:t>Este capítulo examina la relación entre los patrones de apego y la regulación emocional durante la adultez emergente. Sostiene que el apego no debe reducirse únicamente a la historia infantil, sino comprenderse como un marco interpersonal activo que continúa moldeando la valoración, el afrontamiento, la búsqueda de ayuda y las estrategias de autorregulación en contextos universitarios y de inicio profesional. El capítulo revisa supuestos teóricos, transiciones del desarrollo, mecanismos cognitivo-afectivos e implicaciones para el diseño de investigación. Se presta especial atención al modo en que los patrones seguro, ansioso, evitativo y desorganizado pueden influir en la conciencia emocional, la tolerancia al malestar, la revelación interpersonal y el funcionamiento académico. El texto es ficticio y fue creado como muestra profesional de traducción para documentación académica.</w:t>
            </w:r>
          </w:p>
        </w:tc>
      </w:tr>
      <w:tr>
        <w:tc>
          <w:tcPr>
            <w:tcW w:type="dxa" w:w="4800"/>
            <w:shd w:fill="F5F7FA"/>
          </w:tcPr>
          <w:p>
            <w:pPr>
              <w:spacing w:after="0" w:before="0"/>
            </w:pPr>
            <w:r/>
            <w:r>
              <w:rPr>
                <w:rFonts w:ascii="Aptos" w:hAnsi="Aptos"/>
                <w:b/>
                <w:color w:val="132039"/>
                <w:sz w:val="16"/>
              </w:rPr>
              <w:t>3</w:t>
            </w:r>
          </w:p>
        </w:tc>
        <w:tc>
          <w:tcPr>
            <w:tcW w:type="dxa" w:w="4800"/>
            <w:tcMar>
              <w:top w:w="90" w:type="dxa"/>
              <w:start w:w="90" w:type="dxa"/>
              <w:bottom w:w="90" w:type="dxa"/>
              <w:end w:w="90" w:type="dxa"/>
            </w:tcMar>
            <w:vAlign w:val="top"/>
          </w:tcPr>
          <w:p>
            <w:pPr>
              <w:spacing w:after="40"/>
            </w:pPr>
            <w:r/>
            <w:r>
              <w:rPr>
                <w:rFonts w:ascii="Aptos" w:hAnsi="Aptos"/>
                <w:b/>
                <w:color w:val="132039"/>
                <w:sz w:val="15"/>
              </w:rPr>
              <w:t>1. Introduction</w:t>
              <w:br/>
            </w:r>
            <w:r>
              <w:rPr>
                <w:rFonts w:ascii="Aptos" w:hAnsi="Aptos"/>
                <w:color w:val="1D1D1F"/>
                <w:sz w:val="14"/>
              </w:rPr>
              <w:t>Emerging adulthood is a developmental period characterized by instability, exploration, and progressive reorganization of identity, work, intimacy, and autonomy. For many individuals, this period coincides with university education, relocation, financial uncertainty, and the first sustained attempt to build a coherent adult life. These transitions are not merely practical; they also require constant emotional regulation. Students must tolerate uncertainty, delay gratification, seek support, manage failure, and maintain motivation even when social and academic structures are changing rapidly.</w:t>
            </w:r>
          </w:p>
        </w:tc>
        <w:tc>
          <w:tcPr>
            <w:tcW w:type="dxa" w:w="4800"/>
            <w:tcMar>
              <w:top w:w="90" w:type="dxa"/>
              <w:start w:w="90" w:type="dxa"/>
              <w:bottom w:w="90" w:type="dxa"/>
              <w:end w:w="90" w:type="dxa"/>
            </w:tcMar>
            <w:vAlign w:val="top"/>
          </w:tcPr>
          <w:p>
            <w:pPr>
              <w:spacing w:after="40"/>
            </w:pPr>
            <w:r/>
            <w:r>
              <w:rPr>
                <w:rFonts w:ascii="Aptos" w:hAnsi="Aptos"/>
                <w:b/>
                <w:color w:val="132039"/>
                <w:sz w:val="15"/>
              </w:rPr>
              <w:t>1. Introducción</w:t>
              <w:br/>
            </w:r>
            <w:r>
              <w:rPr>
                <w:rFonts w:ascii="Aptos" w:hAnsi="Aptos"/>
                <w:color w:val="1D1D1F"/>
                <w:sz w:val="14"/>
              </w:rPr>
              <w:t>La adultez emergente es un periodo del desarrollo caracterizado por inestabilidad, exploración y reorganización progresiva de la identidad, el trabajo, la intimidad y la autonomía. Para muchas personas, este periodo coincide con la educación universitaria, el cambio de residencia, la incertidumbre económica y el primer intento sostenido de construir una vida adulta coherente. Estas transiciones no son meramente prácticas; también requieren una regulación emocional constante. Los estudiantes deben tolerar la incertidumbre, demorar la gratificación, buscar apoyo, manejar el fracaso y mantener la motivación incluso cuando las estructuras sociales y académicas cambian con rapidez.</w:t>
            </w:r>
          </w:p>
        </w:tc>
      </w:tr>
      <w:tr>
        <w:tc>
          <w:tcPr>
            <w:tcW w:type="dxa" w:w="4800"/>
            <w:shd w:fill="F5F7FA"/>
          </w:tcPr>
          <w:p>
            <w:pPr>
              <w:spacing w:after="0" w:before="0"/>
            </w:pPr>
            <w:r/>
            <w:r>
              <w:rPr>
                <w:rFonts w:ascii="Aptos" w:hAnsi="Aptos"/>
                <w:b/>
                <w:color w:val="132039"/>
                <w:sz w:val="16"/>
              </w:rPr>
              <w:t>4</w:t>
            </w:r>
          </w:p>
        </w:tc>
        <w:tc>
          <w:tcPr>
            <w:tcW w:type="dxa" w:w="4800"/>
            <w:tcMar>
              <w:top w:w="90" w:type="dxa"/>
              <w:start w:w="90" w:type="dxa"/>
              <w:bottom w:w="90" w:type="dxa"/>
              <w:end w:w="90" w:type="dxa"/>
            </w:tcMar>
            <w:vAlign w:val="top"/>
          </w:tcPr>
          <w:p>
            <w:pPr>
              <w:spacing w:after="40"/>
            </w:pPr>
            <w:r/>
            <w:r>
              <w:rPr>
                <w:rFonts w:ascii="Aptos" w:hAnsi="Aptos"/>
                <w:color w:val="1D1D1F"/>
                <w:sz w:val="14"/>
              </w:rPr>
              <w:t>Attachment theory provides a useful framework for understanding why some emerging adults approach these transitions with confidence and relational openness, whereas others respond with hypervigilance, withdrawal, or disorganized coping. In its classical formulation, attachment describes the internal working models through which individuals anticipate the availability of significant others and regulate distress in proximity-seeking situations. In adulthood, these models do not disappear. They are transformed into expectations about trust, dependence, intimacy, rejection, autonomy, and emotional expression.</w:t>
            </w:r>
          </w:p>
        </w:tc>
        <w:tc>
          <w:tcPr>
            <w:tcW w:type="dxa" w:w="4800"/>
            <w:tcMar>
              <w:top w:w="90" w:type="dxa"/>
              <w:start w:w="90" w:type="dxa"/>
              <w:bottom w:w="90" w:type="dxa"/>
              <w:end w:w="90" w:type="dxa"/>
            </w:tcMar>
            <w:vAlign w:val="top"/>
          </w:tcPr>
          <w:p>
            <w:pPr>
              <w:spacing w:after="40"/>
            </w:pPr>
            <w:r/>
            <w:r>
              <w:rPr>
                <w:rFonts w:ascii="Aptos" w:hAnsi="Aptos"/>
                <w:color w:val="1D1D1F"/>
                <w:sz w:val="14"/>
              </w:rPr>
              <w:t>La teoría del apego ofrece un marco útil para comprender por qué algunos adultos emergentes afrontan estas transiciones con confianza y apertura relacional, mientras que otros responden con hipervigilancia, retraimiento o afrontamiento desorganizado. En su formulación clásica, el apego describe los modelos operativos internos mediante los cuales las personas anticipan la disponibilidad de otros significativos y regulan el malestar en situaciones de búsqueda de proximidad. En la adultez, estos modelos no desaparecen. Se transforman en expectativas sobre la confianza, la dependencia, la intimidad, el rechazo, la autonomía y la expresión emocional.</w:t>
            </w:r>
          </w:p>
        </w:tc>
      </w:tr>
      <w:tr>
        <w:tc>
          <w:tcPr>
            <w:tcW w:type="dxa" w:w="4800"/>
            <w:shd w:fill="F5F7FA"/>
          </w:tcPr>
          <w:p>
            <w:pPr>
              <w:spacing w:after="0" w:before="0"/>
            </w:pPr>
            <w:r/>
            <w:r>
              <w:rPr>
                <w:rFonts w:ascii="Aptos" w:hAnsi="Aptos"/>
                <w:b/>
                <w:color w:val="132039"/>
                <w:sz w:val="16"/>
              </w:rPr>
              <w:t>5</w:t>
            </w:r>
          </w:p>
        </w:tc>
        <w:tc>
          <w:tcPr>
            <w:tcW w:type="dxa" w:w="4800"/>
            <w:tcMar>
              <w:top w:w="90" w:type="dxa"/>
              <w:start w:w="90" w:type="dxa"/>
              <w:bottom w:w="90" w:type="dxa"/>
              <w:end w:w="90" w:type="dxa"/>
            </w:tcMar>
            <w:vAlign w:val="top"/>
          </w:tcPr>
          <w:p>
            <w:pPr>
              <w:spacing w:after="40"/>
            </w:pPr>
            <w:r/>
            <w:r>
              <w:rPr>
                <w:rFonts w:ascii="Aptos" w:hAnsi="Aptos"/>
                <w:color w:val="1D1D1F"/>
                <w:sz w:val="14"/>
              </w:rPr>
              <w:t>The present chapter focuses on the intersection between attachment and emotional regulation. This intersection is particularly relevant for academic and clinical contexts because university students frequently present with anxiety symptoms, sleep disruption, procrastination, interpersonal conflict, and fluctuations in self-worth. While these problems are often discussed as isolated symptoms, they may also represent different expressions of underlying regulatory strategies. A student who repeatedly avoids feedback may not simply be lazy; avoidance may function as a defensive strategy against shame. Another student who excessively seeks reassurance may not simply lack discipline; reassurance seeking may regulate fear of abandonment or failure.</w:t>
            </w:r>
          </w:p>
        </w:tc>
        <w:tc>
          <w:tcPr>
            <w:tcW w:type="dxa" w:w="4800"/>
            <w:tcMar>
              <w:top w:w="90" w:type="dxa"/>
              <w:start w:w="90" w:type="dxa"/>
              <w:bottom w:w="90" w:type="dxa"/>
              <w:end w:w="90" w:type="dxa"/>
            </w:tcMar>
            <w:vAlign w:val="top"/>
          </w:tcPr>
          <w:p>
            <w:pPr>
              <w:spacing w:after="40"/>
            </w:pPr>
            <w:r/>
            <w:r>
              <w:rPr>
                <w:rFonts w:ascii="Aptos" w:hAnsi="Aptos"/>
                <w:color w:val="1D1D1F"/>
                <w:sz w:val="14"/>
              </w:rPr>
              <w:t>El presente capítulo se centra en la intersección entre apego y regulación emocional. Esta intersección es particularmente relevante para contextos académicos y clínicos porque los estudiantes universitarios suelen presentar síntomas de ansiedad, alteraciones del sueño, procrastinación, conflicto interpersonal y fluctuaciones en la autoestima. Aunque estos problemas suelen discutirse como síntomas aislados, también pueden representar distintas expresiones de estrategias regulatorias subyacentes. Un estudiante que evita repetidamente la retroalimentación quizá no sea simplemente perezoso; la evitación puede funcionar como una estrategia defensiva frente a la vergüenza. Otro estudiante que busca tranquilidad de manera excesiva quizá no carezca simplemente de disciplina; la búsqueda de reaseguramiento puede regular el miedo al abandono o al fracaso.</w:t>
            </w:r>
          </w:p>
        </w:tc>
      </w:tr>
      <w:tr>
        <w:tc>
          <w:tcPr>
            <w:tcW w:type="dxa" w:w="4800"/>
            <w:shd w:fill="F5F7FA"/>
          </w:tcPr>
          <w:p>
            <w:pPr>
              <w:spacing w:after="0" w:before="0"/>
            </w:pPr>
            <w:r/>
            <w:r>
              <w:rPr>
                <w:rFonts w:ascii="Aptos" w:hAnsi="Aptos"/>
                <w:b/>
                <w:color w:val="132039"/>
                <w:sz w:val="16"/>
              </w:rPr>
              <w:t>6</w:t>
            </w:r>
          </w:p>
        </w:tc>
        <w:tc>
          <w:tcPr>
            <w:tcW w:type="dxa" w:w="4800"/>
            <w:tcMar>
              <w:top w:w="90" w:type="dxa"/>
              <w:start w:w="90" w:type="dxa"/>
              <w:bottom w:w="90" w:type="dxa"/>
              <w:end w:w="90" w:type="dxa"/>
            </w:tcMar>
            <w:vAlign w:val="top"/>
          </w:tcPr>
          <w:p>
            <w:pPr>
              <w:spacing w:after="40"/>
            </w:pPr>
            <w:r/>
            <w:r>
              <w:rPr>
                <w:rFonts w:ascii="Aptos" w:hAnsi="Aptos"/>
                <w:b/>
                <w:color w:val="132039"/>
                <w:sz w:val="15"/>
              </w:rPr>
              <w:t>2. Conceptual Background</w:t>
              <w:br/>
            </w:r>
            <w:r>
              <w:rPr>
                <w:rFonts w:ascii="Aptos" w:hAnsi="Aptos"/>
                <w:color w:val="1D1D1F"/>
                <w:sz w:val="14"/>
              </w:rPr>
              <w:t>Attachment patterns are commonly described along dimensions of anxiety and avoidance. Secure attachment is associated with confidence in the availability of others, flexible exploration, and a balanced capacity to seek support while preserving autonomy. Anxious attachment is associated with heightened sensitivity to signs of rejection, intense need for reassurance, and difficulty down-regulating distress. Avoidant attachment is associated with discomfort with dependence, suppression of emotional needs, and preference for self-reliance even when support would be adaptive. Disorganized attachment involves contradictory strategies, fear without solution, and difficulty integrating proximity and safety.</w:t>
            </w:r>
          </w:p>
        </w:tc>
        <w:tc>
          <w:tcPr>
            <w:tcW w:type="dxa" w:w="4800"/>
            <w:tcMar>
              <w:top w:w="90" w:type="dxa"/>
              <w:start w:w="90" w:type="dxa"/>
              <w:bottom w:w="90" w:type="dxa"/>
              <w:end w:w="90" w:type="dxa"/>
            </w:tcMar>
            <w:vAlign w:val="top"/>
          </w:tcPr>
          <w:p>
            <w:pPr>
              <w:spacing w:after="40"/>
            </w:pPr>
            <w:r/>
            <w:r>
              <w:rPr>
                <w:rFonts w:ascii="Aptos" w:hAnsi="Aptos"/>
                <w:b/>
                <w:color w:val="132039"/>
                <w:sz w:val="15"/>
              </w:rPr>
              <w:t>2. Antecedentes conceptuales</w:t>
              <w:br/>
            </w:r>
            <w:r>
              <w:rPr>
                <w:rFonts w:ascii="Aptos" w:hAnsi="Aptos"/>
                <w:color w:val="1D1D1F"/>
                <w:sz w:val="14"/>
              </w:rPr>
              <w:t>Los patrones de apego suelen describirse a lo largo de las dimensiones de ansiedad y evitación. El apego seguro se asocia con confianza en la disponibilidad de los demás, exploración flexible y una capacidad equilibrada para buscar apoyo sin perder autonomía. El apego ansioso se asocia con una sensibilidad elevada ante señales de rechazo, una intensa necesidad de reaseguramiento y dificultad para disminuir el malestar. El apego evitativo se asocia con incomodidad frente a la dependencia, supresión de necesidades emocionales y preferencia por la autosuficiencia incluso cuando el apoyo sería adaptativo. El apego desorganizado implica estrategias contradictorias, miedo sin solución y dificultad para integrar proximidad y seguridad.</w:t>
            </w:r>
          </w:p>
        </w:tc>
      </w:tr>
      <w:tr>
        <w:tc>
          <w:tcPr>
            <w:tcW w:type="dxa" w:w="4800"/>
            <w:shd w:fill="F5F7FA"/>
          </w:tcPr>
          <w:p>
            <w:pPr>
              <w:spacing w:after="0" w:before="0"/>
            </w:pPr>
            <w:r/>
            <w:r>
              <w:rPr>
                <w:rFonts w:ascii="Aptos" w:hAnsi="Aptos"/>
                <w:b/>
                <w:color w:val="132039"/>
                <w:sz w:val="16"/>
              </w:rPr>
              <w:t>7</w:t>
            </w:r>
          </w:p>
        </w:tc>
        <w:tc>
          <w:tcPr>
            <w:tcW w:type="dxa" w:w="4800"/>
            <w:tcMar>
              <w:top w:w="90" w:type="dxa"/>
              <w:start w:w="90" w:type="dxa"/>
              <w:bottom w:w="90" w:type="dxa"/>
              <w:end w:w="90" w:type="dxa"/>
            </w:tcMar>
            <w:vAlign w:val="top"/>
          </w:tcPr>
          <w:p>
            <w:pPr>
              <w:spacing w:after="40"/>
            </w:pPr>
            <w:r/>
            <w:r>
              <w:rPr>
                <w:rFonts w:ascii="Aptos" w:hAnsi="Aptos"/>
                <w:color w:val="1D1D1F"/>
                <w:sz w:val="14"/>
              </w:rPr>
              <w:t>Emotional regulation refers to the processes through which individuals monitor, evaluate, and modify emotional responses in order to pursue goals. Regulation may occur before, during, or after the emotional response. It may involve attentional deployment, cognitive reappraisal, problem solving, acceptance, suppression, rumination, avoidance, or interpersonal support. No strategy is universally adaptive or maladaptive. The same strategy may function differently depending on context, intensity, timing, and flexibility.</w:t>
            </w:r>
          </w:p>
        </w:tc>
        <w:tc>
          <w:tcPr>
            <w:tcW w:type="dxa" w:w="4800"/>
            <w:tcMar>
              <w:top w:w="90" w:type="dxa"/>
              <w:start w:w="90" w:type="dxa"/>
              <w:bottom w:w="90" w:type="dxa"/>
              <w:end w:w="90" w:type="dxa"/>
            </w:tcMar>
            <w:vAlign w:val="top"/>
          </w:tcPr>
          <w:p>
            <w:pPr>
              <w:spacing w:after="40"/>
            </w:pPr>
            <w:r/>
            <w:r>
              <w:rPr>
                <w:rFonts w:ascii="Aptos" w:hAnsi="Aptos"/>
                <w:color w:val="1D1D1F"/>
                <w:sz w:val="14"/>
              </w:rPr>
              <w:t>La regulación emocional se refiere a los procesos mediante los cuales las personas monitorean, evalúan y modifican sus respuestas emocionales para perseguir metas. La regulación puede ocurrir antes, durante o después de la respuesta emocional. Puede implicar despliegue atencional, reevaluación cognitiva, resolución de problemas, aceptación, supresión, rumiación, evitación o apoyo interpersonal. Ninguna estrategia es universalmente adaptativa o desadaptativa. La misma estrategia puede funcionar de manera distinta según el contexto, la intensidad, el momento y la flexibilidad.</w:t>
            </w:r>
          </w:p>
        </w:tc>
      </w:tr>
      <w:tr>
        <w:tc>
          <w:tcPr>
            <w:tcW w:type="dxa" w:w="4800"/>
            <w:shd w:fill="F5F7FA"/>
          </w:tcPr>
          <w:p>
            <w:pPr>
              <w:spacing w:after="0" w:before="0"/>
            </w:pPr>
            <w:r/>
            <w:r>
              <w:rPr>
                <w:rFonts w:ascii="Aptos" w:hAnsi="Aptos"/>
                <w:b/>
                <w:color w:val="132039"/>
                <w:sz w:val="16"/>
              </w:rPr>
              <w:t>8</w:t>
            </w:r>
          </w:p>
        </w:tc>
        <w:tc>
          <w:tcPr>
            <w:tcW w:type="dxa" w:w="4800"/>
            <w:tcMar>
              <w:top w:w="90" w:type="dxa"/>
              <w:start w:w="90" w:type="dxa"/>
              <w:bottom w:w="90" w:type="dxa"/>
              <w:end w:w="90" w:type="dxa"/>
            </w:tcMar>
            <w:vAlign w:val="top"/>
          </w:tcPr>
          <w:p>
            <w:pPr>
              <w:spacing w:after="40"/>
            </w:pPr>
            <w:r/>
            <w:r>
              <w:rPr>
                <w:rFonts w:ascii="Aptos" w:hAnsi="Aptos"/>
                <w:color w:val="1D1D1F"/>
                <w:sz w:val="14"/>
              </w:rPr>
              <w:t>The central argument of this chapter is that attachment patterns influence emotional regulation not by determining behavior in a rigid way, but by shaping what the individual expects from emotion, from other people, and from the self. Securely attached individuals are more likely to perceive distress as tolerable and communicable. They can seek support without experiencing dependence as humiliation. They can be alone without interpreting solitude as abandonment. By contrast, insecure attachment may transform ordinary academic stress into confirmation of relational danger or personal inadequacy.</w:t>
            </w:r>
          </w:p>
        </w:tc>
        <w:tc>
          <w:tcPr>
            <w:tcW w:type="dxa" w:w="4800"/>
            <w:tcMar>
              <w:top w:w="90" w:type="dxa"/>
              <w:start w:w="90" w:type="dxa"/>
              <w:bottom w:w="90" w:type="dxa"/>
              <w:end w:w="90" w:type="dxa"/>
            </w:tcMar>
            <w:vAlign w:val="top"/>
          </w:tcPr>
          <w:p>
            <w:pPr>
              <w:spacing w:after="40"/>
            </w:pPr>
            <w:r/>
            <w:r>
              <w:rPr>
                <w:rFonts w:ascii="Aptos" w:hAnsi="Aptos"/>
                <w:color w:val="1D1D1F"/>
                <w:sz w:val="14"/>
              </w:rPr>
              <w:t>El argumento central de este capítulo es que los patrones de apego influyen en la regulación emocional no determinando la conducta de forma rígida, sino moldeando lo que la persona espera de la emoción, de los demás y de sí misma. Las personas con apego seguro tienen mayor probabilidad de percibir el malestar como tolerable y comunicable. Pueden buscar apoyo sin experimentar la dependencia como humillación. Pueden estar solas sin interpretar la soledad como abandono. En contraste, el apego inseguro puede transformar el estrés académico ordinario en confirmación de peligro relacional o de insuficiencia personal.</w:t>
            </w:r>
          </w:p>
        </w:tc>
      </w:tr>
      <w:tr>
        <w:tc>
          <w:tcPr>
            <w:tcW w:type="dxa" w:w="4800"/>
            <w:shd w:fill="F5F7FA"/>
          </w:tcPr>
          <w:p>
            <w:pPr>
              <w:spacing w:after="0" w:before="0"/>
            </w:pPr>
            <w:r/>
            <w:r>
              <w:rPr>
                <w:rFonts w:ascii="Aptos" w:hAnsi="Aptos"/>
                <w:b/>
                <w:color w:val="132039"/>
                <w:sz w:val="16"/>
              </w:rPr>
              <w:t>9</w:t>
            </w:r>
          </w:p>
        </w:tc>
        <w:tc>
          <w:tcPr>
            <w:tcW w:type="dxa" w:w="4800"/>
            <w:tcMar>
              <w:top w:w="90" w:type="dxa"/>
              <w:start w:w="90" w:type="dxa"/>
              <w:bottom w:w="90" w:type="dxa"/>
              <w:end w:w="90" w:type="dxa"/>
            </w:tcMar>
            <w:vAlign w:val="top"/>
          </w:tcPr>
          <w:p>
            <w:pPr>
              <w:spacing w:after="40"/>
            </w:pPr>
            <w:r/>
            <w:r>
              <w:rPr>
                <w:rFonts w:ascii="Aptos" w:hAnsi="Aptos"/>
                <w:b/>
                <w:color w:val="132039"/>
                <w:sz w:val="15"/>
              </w:rPr>
              <w:t>3. Attachment Anxiety and Hyperactivating Strategies</w:t>
              <w:br/>
            </w:r>
            <w:r>
              <w:rPr>
                <w:rFonts w:ascii="Aptos" w:hAnsi="Aptos"/>
                <w:color w:val="1D1D1F"/>
                <w:sz w:val="14"/>
              </w:rPr>
              <w:t>Attachment anxiety is often associated with hyperactivating strategies. These strategies amplify emotional signals in order to maintain proximity and obtain reassurance. In an academic context, hyperactivation may appear as repeated checking of messages, excessive concern about teachers' evaluations, difficulty concentrating after interpersonal ambiguity, or intense emotional reactions to minor academic setbacks. The student may interpret delayed feedback as evidence of rejection or failure rather than as an ordinary administrative delay.</w:t>
            </w:r>
          </w:p>
        </w:tc>
        <w:tc>
          <w:tcPr>
            <w:tcW w:type="dxa" w:w="4800"/>
            <w:tcMar>
              <w:top w:w="90" w:type="dxa"/>
              <w:start w:w="90" w:type="dxa"/>
              <w:bottom w:w="90" w:type="dxa"/>
              <w:end w:w="90" w:type="dxa"/>
            </w:tcMar>
            <w:vAlign w:val="top"/>
          </w:tcPr>
          <w:p>
            <w:pPr>
              <w:spacing w:after="40"/>
            </w:pPr>
            <w:r/>
            <w:r>
              <w:rPr>
                <w:rFonts w:ascii="Aptos" w:hAnsi="Aptos"/>
                <w:b/>
                <w:color w:val="132039"/>
                <w:sz w:val="15"/>
              </w:rPr>
              <w:t>3. Ansiedad de apego y estrategias hiperactivadoras</w:t>
              <w:br/>
            </w:r>
            <w:r>
              <w:rPr>
                <w:rFonts w:ascii="Aptos" w:hAnsi="Aptos"/>
                <w:color w:val="1D1D1F"/>
                <w:sz w:val="14"/>
              </w:rPr>
              <w:t>La ansiedad de apego suele asociarse con estrategias hiperactivadoras. Estas estrategias amplifican las señales emocionales para mantener la proximidad y obtener reaseguramiento. En un contexto académico, la hiperactivación puede manifestarse como revisión repetida de mensajes, preocupación excesiva por las evaluaciones de los docentes, dificultad para concentrarse después de una ambigüedad interpersonal o reacciones emocionales intensas ante contratiempos académicos menores. El estudiante puede interpretar una retroalimentación demorada como evidencia de rechazo o fracaso, en lugar de considerarla una demora administrativa ordinaria.</w:t>
            </w:r>
          </w:p>
        </w:tc>
      </w:tr>
      <w:tr>
        <w:tc>
          <w:tcPr>
            <w:tcW w:type="dxa" w:w="4800"/>
            <w:shd w:fill="F5F7FA"/>
          </w:tcPr>
          <w:p>
            <w:pPr>
              <w:spacing w:after="0" w:before="0"/>
            </w:pPr>
            <w:r/>
            <w:r>
              <w:rPr>
                <w:rFonts w:ascii="Aptos" w:hAnsi="Aptos"/>
                <w:b/>
                <w:color w:val="132039"/>
                <w:sz w:val="16"/>
              </w:rPr>
              <w:t>10</w:t>
            </w:r>
          </w:p>
        </w:tc>
        <w:tc>
          <w:tcPr>
            <w:tcW w:type="dxa" w:w="4800"/>
            <w:tcMar>
              <w:top w:w="90" w:type="dxa"/>
              <w:start w:w="90" w:type="dxa"/>
              <w:bottom w:w="90" w:type="dxa"/>
              <w:end w:w="90" w:type="dxa"/>
            </w:tcMar>
            <w:vAlign w:val="top"/>
          </w:tcPr>
          <w:p>
            <w:pPr>
              <w:spacing w:after="40"/>
            </w:pPr>
            <w:r/>
            <w:r>
              <w:rPr>
                <w:rFonts w:ascii="Aptos" w:hAnsi="Aptos"/>
                <w:color w:val="1D1D1F"/>
                <w:sz w:val="14"/>
              </w:rPr>
              <w:t>Hyperactivating strategies can produce short-term relief when reassurance is obtained, but they tend to maintain emotional dependency over time. Because reassurance reduces anxiety temporarily, the individual may become less confident in their own capacity to tolerate uncertainty. This mechanism is relevant for research on procrastination, academic anxiety, and burnout. The student may not avoid work because the task is cognitively impossible; rather, the task becomes emotionally saturated with fears of judgment, abandonment, or exposure.</w:t>
            </w:r>
          </w:p>
        </w:tc>
        <w:tc>
          <w:tcPr>
            <w:tcW w:type="dxa" w:w="4800"/>
            <w:tcMar>
              <w:top w:w="90" w:type="dxa"/>
              <w:start w:w="90" w:type="dxa"/>
              <w:bottom w:w="90" w:type="dxa"/>
              <w:end w:w="90" w:type="dxa"/>
            </w:tcMar>
            <w:vAlign w:val="top"/>
          </w:tcPr>
          <w:p>
            <w:pPr>
              <w:spacing w:after="40"/>
            </w:pPr>
            <w:r/>
            <w:r>
              <w:rPr>
                <w:rFonts w:ascii="Aptos" w:hAnsi="Aptos"/>
                <w:color w:val="1D1D1F"/>
                <w:sz w:val="14"/>
              </w:rPr>
              <w:t>Las estrategias hiperactivadoras pueden producir alivio a corto plazo cuando se obtiene reaseguramiento, pero tienden a mantener la dependencia emocional con el tiempo. Debido a que el reaseguramiento reduce temporalmente la ansiedad, la persona puede volverse menos confiada en su propia capacidad para tolerar la incertidumbre. Este mecanismo es relevante para la investigación sobre procrastinación, ansiedad académica y agotamiento. El estudiante quizá no evita el trabajo porque la tarea sea cognitivamente imposible; más bien, la tarea queda emocionalmente saturada de temores de juicio, abandono o exposición.</w:t>
            </w:r>
          </w:p>
        </w:tc>
      </w:tr>
      <w:tr>
        <w:tc>
          <w:tcPr>
            <w:tcW w:type="dxa" w:w="4800"/>
            <w:shd w:fill="F5F7FA"/>
          </w:tcPr>
          <w:p>
            <w:pPr>
              <w:spacing w:after="0" w:before="0"/>
            </w:pPr>
            <w:r/>
            <w:r>
              <w:rPr>
                <w:rFonts w:ascii="Aptos" w:hAnsi="Aptos"/>
                <w:b/>
                <w:color w:val="132039"/>
                <w:sz w:val="16"/>
              </w:rPr>
              <w:t>11</w:t>
            </w:r>
          </w:p>
        </w:tc>
        <w:tc>
          <w:tcPr>
            <w:tcW w:type="dxa" w:w="4800"/>
            <w:tcMar>
              <w:top w:w="90" w:type="dxa"/>
              <w:start w:w="90" w:type="dxa"/>
              <w:bottom w:w="90" w:type="dxa"/>
              <w:end w:w="90" w:type="dxa"/>
            </w:tcMar>
            <w:vAlign w:val="top"/>
          </w:tcPr>
          <w:p>
            <w:pPr>
              <w:spacing w:after="40"/>
            </w:pPr>
            <w:r/>
            <w:r>
              <w:rPr>
                <w:rFonts w:ascii="Aptos" w:hAnsi="Aptos"/>
                <w:b/>
                <w:color w:val="132039"/>
                <w:sz w:val="15"/>
              </w:rPr>
              <w:t>4. Attachment Avoidance and Deactivating Strategies</w:t>
              <w:br/>
            </w:r>
            <w:r>
              <w:rPr>
                <w:rFonts w:ascii="Aptos" w:hAnsi="Aptos"/>
                <w:color w:val="1D1D1F"/>
                <w:sz w:val="14"/>
              </w:rPr>
              <w:t>Attachment avoidance is commonly associated with deactivating strategies. Instead of amplifying emotion, the individual minimizes, suppresses, or dismisses emotional needs. In emerging adulthood, this may look like excessive self-reliance, reluctance to ask for help, emotional distancing from peers, or intellectualization of distress. The student may describe everything as 'fine' while becoming increasingly isolated, exhausted, or disengaged from academic life.</w:t>
            </w:r>
          </w:p>
        </w:tc>
        <w:tc>
          <w:tcPr>
            <w:tcW w:type="dxa" w:w="4800"/>
            <w:tcMar>
              <w:top w:w="90" w:type="dxa"/>
              <w:start w:w="90" w:type="dxa"/>
              <w:bottom w:w="90" w:type="dxa"/>
              <w:end w:w="90" w:type="dxa"/>
            </w:tcMar>
            <w:vAlign w:val="top"/>
          </w:tcPr>
          <w:p>
            <w:pPr>
              <w:spacing w:after="40"/>
            </w:pPr>
            <w:r/>
            <w:r>
              <w:rPr>
                <w:rFonts w:ascii="Aptos" w:hAnsi="Aptos"/>
                <w:b/>
                <w:color w:val="132039"/>
                <w:sz w:val="15"/>
              </w:rPr>
              <w:t>4. Evitación de apego y estrategias desactivadoras</w:t>
              <w:br/>
            </w:r>
            <w:r>
              <w:rPr>
                <w:rFonts w:ascii="Aptos" w:hAnsi="Aptos"/>
                <w:color w:val="1D1D1F"/>
                <w:sz w:val="14"/>
              </w:rPr>
              <w:t>La evitación de apego suele asociarse con estrategias desactivadoras. En lugar de amplificar la emoción, la persona minimiza, suprime o desestima sus necesidades emocionales. En la adultez emergente, esto puede verse como autosuficiencia excesiva, resistencia a pedir ayuda, distanciamiento emocional de los pares o intelectualización del malestar. El estudiante puede describir todo como 'bien' mientras se vuelve cada vez más aislado, agotado o desconectado de la vida académica.</w:t>
            </w:r>
          </w:p>
        </w:tc>
      </w:tr>
      <w:tr>
        <w:tc>
          <w:tcPr>
            <w:tcW w:type="dxa" w:w="4800"/>
            <w:shd w:fill="F5F7FA"/>
          </w:tcPr>
          <w:p>
            <w:pPr>
              <w:spacing w:after="0" w:before="0"/>
            </w:pPr>
            <w:r/>
            <w:r>
              <w:rPr>
                <w:rFonts w:ascii="Aptos" w:hAnsi="Aptos"/>
                <w:b/>
                <w:color w:val="132039"/>
                <w:sz w:val="16"/>
              </w:rPr>
              <w:t>12</w:t>
            </w:r>
          </w:p>
        </w:tc>
        <w:tc>
          <w:tcPr>
            <w:tcW w:type="dxa" w:w="4800"/>
            <w:tcMar>
              <w:top w:w="90" w:type="dxa"/>
              <w:start w:w="90" w:type="dxa"/>
              <w:bottom w:w="90" w:type="dxa"/>
              <w:end w:w="90" w:type="dxa"/>
            </w:tcMar>
            <w:vAlign w:val="top"/>
          </w:tcPr>
          <w:p>
            <w:pPr>
              <w:spacing w:after="40"/>
            </w:pPr>
            <w:r/>
            <w:r>
              <w:rPr>
                <w:rFonts w:ascii="Aptos" w:hAnsi="Aptos"/>
                <w:color w:val="1D1D1F"/>
                <w:sz w:val="14"/>
              </w:rPr>
              <w:t>Deactivating strategies may be culturally reinforced in environments that value independence and performance. A student who never asks for help may be perceived as mature, disciplined, or strong. However, the absence of overt distress does not necessarily indicate effective regulation. Suppression can reduce visible emotional expression while increasing physiological arousal, cognitive load, and long-term vulnerability. From a translation standpoint, this distinction matters because terms such as 'self-reliance,' 'avoidance,' 'suppression,' and 'autonomy' must not be treated as synonyms.</w:t>
            </w:r>
          </w:p>
        </w:tc>
        <w:tc>
          <w:tcPr>
            <w:tcW w:type="dxa" w:w="4800"/>
            <w:tcMar>
              <w:top w:w="90" w:type="dxa"/>
              <w:start w:w="90" w:type="dxa"/>
              <w:bottom w:w="90" w:type="dxa"/>
              <w:end w:w="90" w:type="dxa"/>
            </w:tcMar>
            <w:vAlign w:val="top"/>
          </w:tcPr>
          <w:p>
            <w:pPr>
              <w:spacing w:after="40"/>
            </w:pPr>
            <w:r/>
            <w:r>
              <w:rPr>
                <w:rFonts w:ascii="Aptos" w:hAnsi="Aptos"/>
                <w:color w:val="1D1D1F"/>
                <w:sz w:val="14"/>
              </w:rPr>
              <w:t>Las estrategias desactivadoras pueden ser reforzadas culturalmente en entornos que valoran la independencia y el rendimiento. Un estudiante que nunca pide ayuda puede ser percibido como maduro, disciplinado o fuerte. Sin embargo, la ausencia de malestar manifiesto no indica necesariamente una regulación eficaz. La supresión puede reducir la expresión emocional visible mientras aumenta la activación fisiológica, la carga cognitiva y la vulnerabilidad a largo plazo. Desde el punto de vista de la traducción, esta distinción importa porque términos como 'autosuficiencia', 'evitación', 'supresión' y 'autonomía' no deben tratarse como sinónimos.</w:t>
            </w:r>
          </w:p>
        </w:tc>
      </w:tr>
      <w:tr>
        <w:tc>
          <w:tcPr>
            <w:tcW w:type="dxa" w:w="4800"/>
            <w:shd w:fill="F5F7FA"/>
          </w:tcPr>
          <w:p>
            <w:pPr>
              <w:spacing w:after="0" w:before="0"/>
            </w:pPr>
            <w:r/>
            <w:r>
              <w:rPr>
                <w:rFonts w:ascii="Aptos" w:hAnsi="Aptos"/>
                <w:b/>
                <w:color w:val="132039"/>
                <w:sz w:val="16"/>
              </w:rPr>
              <w:t>13</w:t>
            </w:r>
          </w:p>
        </w:tc>
        <w:tc>
          <w:tcPr>
            <w:tcW w:type="dxa" w:w="4800"/>
            <w:tcMar>
              <w:top w:w="90" w:type="dxa"/>
              <w:start w:w="90" w:type="dxa"/>
              <w:bottom w:w="90" w:type="dxa"/>
              <w:end w:w="90" w:type="dxa"/>
            </w:tcMar>
            <w:vAlign w:val="top"/>
          </w:tcPr>
          <w:p>
            <w:pPr>
              <w:spacing w:after="40"/>
            </w:pPr>
            <w:r/>
            <w:r>
              <w:rPr>
                <w:rFonts w:ascii="Aptos" w:hAnsi="Aptos"/>
                <w:b/>
                <w:color w:val="132039"/>
                <w:sz w:val="15"/>
              </w:rPr>
              <w:t>5. Emotional Regulation and Academic Functioning</w:t>
              <w:br/>
            </w:r>
            <w:r>
              <w:rPr>
                <w:rFonts w:ascii="Aptos" w:hAnsi="Aptos"/>
                <w:color w:val="1D1D1F"/>
                <w:sz w:val="14"/>
              </w:rPr>
              <w:t>Academic performance is influenced by cognitive ability, study habits, socioeconomic conditions, institutional support, sleep, and mental health. Attachment and regulation do not replace these variables, but they help explain how students respond to pressure. Two students may face the same examination; one may experience manageable activation and use planning strategies, while another may experience the same examination as a threat to identity and relational worth. The difference lies not only in knowledge, but also in appraisal and regulation.</w:t>
            </w:r>
          </w:p>
        </w:tc>
        <w:tc>
          <w:tcPr>
            <w:tcW w:type="dxa" w:w="4800"/>
            <w:tcMar>
              <w:top w:w="90" w:type="dxa"/>
              <w:start w:w="90" w:type="dxa"/>
              <w:bottom w:w="90" w:type="dxa"/>
              <w:end w:w="90" w:type="dxa"/>
            </w:tcMar>
            <w:vAlign w:val="top"/>
          </w:tcPr>
          <w:p>
            <w:pPr>
              <w:spacing w:after="40"/>
            </w:pPr>
            <w:r/>
            <w:r>
              <w:rPr>
                <w:rFonts w:ascii="Aptos" w:hAnsi="Aptos"/>
                <w:b/>
                <w:color w:val="132039"/>
                <w:sz w:val="15"/>
              </w:rPr>
              <w:t>5. Regulación emocional y funcionamiento académico</w:t>
              <w:br/>
            </w:r>
            <w:r>
              <w:rPr>
                <w:rFonts w:ascii="Aptos" w:hAnsi="Aptos"/>
                <w:color w:val="1D1D1F"/>
                <w:sz w:val="14"/>
              </w:rPr>
              <w:t>El rendimiento académico está influido por la capacidad cognitiva, los hábitos de estudio, las condiciones socioeconómicas, el apoyo institucional, el sueño y la salud mental. El apego y la regulación no sustituyen estas variables, pero ayudan a explicar cómo responden los estudiantes a la presión. Dos estudiantes pueden enfrentarse al mismo examen; uno puede experimentar una activación manejable y utilizar estrategias de planificación, mientras que otro puede vivir el mismo examen como una amenaza a la identidad y al valor relacional. La diferencia no reside solo en el conocimiento, sino también en la valoración y la regulación.</w:t>
            </w:r>
          </w:p>
        </w:tc>
      </w:tr>
      <w:tr>
        <w:tc>
          <w:tcPr>
            <w:tcW w:type="dxa" w:w="4800"/>
            <w:shd w:fill="F5F7FA"/>
          </w:tcPr>
          <w:p>
            <w:pPr>
              <w:spacing w:after="0" w:before="0"/>
            </w:pPr>
            <w:r/>
            <w:r>
              <w:rPr>
                <w:rFonts w:ascii="Aptos" w:hAnsi="Aptos"/>
                <w:b/>
                <w:color w:val="132039"/>
                <w:sz w:val="16"/>
              </w:rPr>
              <w:t>14</w:t>
            </w:r>
          </w:p>
        </w:tc>
        <w:tc>
          <w:tcPr>
            <w:tcW w:type="dxa" w:w="4800"/>
            <w:tcMar>
              <w:top w:w="90" w:type="dxa"/>
              <w:start w:w="90" w:type="dxa"/>
              <w:bottom w:w="90" w:type="dxa"/>
              <w:end w:w="90" w:type="dxa"/>
            </w:tcMar>
            <w:vAlign w:val="top"/>
          </w:tcPr>
          <w:p>
            <w:pPr>
              <w:spacing w:after="40"/>
            </w:pPr>
            <w:r/>
            <w:r>
              <w:rPr>
                <w:rFonts w:ascii="Aptos" w:hAnsi="Aptos"/>
                <w:color w:val="1D1D1F"/>
                <w:sz w:val="14"/>
              </w:rPr>
              <w:t>Emotion regulation also influences help-seeking. Secure students may approach professors, tutors, or peers when they encounter difficulty. Anxiously attached students may seek help repeatedly, but in a way that focuses more on reassurance than learning. Avoidantly attached students may delay help-seeking until the problem has become severe. Disorganized patterns may produce inconsistent behavior: urgent disclosure followed by withdrawal, or intense dependence followed by abrupt rejection of support.</w:t>
            </w:r>
          </w:p>
        </w:tc>
        <w:tc>
          <w:tcPr>
            <w:tcW w:type="dxa" w:w="4800"/>
            <w:tcMar>
              <w:top w:w="90" w:type="dxa"/>
              <w:start w:w="90" w:type="dxa"/>
              <w:bottom w:w="90" w:type="dxa"/>
              <w:end w:w="90" w:type="dxa"/>
            </w:tcMar>
            <w:vAlign w:val="top"/>
          </w:tcPr>
          <w:p>
            <w:pPr>
              <w:spacing w:after="40"/>
            </w:pPr>
            <w:r/>
            <w:r>
              <w:rPr>
                <w:rFonts w:ascii="Aptos" w:hAnsi="Aptos"/>
                <w:color w:val="1D1D1F"/>
                <w:sz w:val="14"/>
              </w:rPr>
              <w:t>La regulación emocional también influye en la búsqueda de ayuda. Los estudiantes seguros pueden acercarse a profesores, tutores o compañeros cuando encuentran dificultades. Los estudiantes con apego ansioso pueden buscar ayuda repetidamente, pero de una forma más centrada en el reaseguramiento que en el aprendizaje. Los estudiantes con apego evitativo pueden retrasar la búsqueda de ayuda hasta que el problema se vuelve grave. Los patrones desorganizados pueden producir conductas inconsistentes: revelación urgente seguida de retraimiento, o dependencia intensa seguida de rechazo abrupto del apoyo.</w:t>
            </w:r>
          </w:p>
        </w:tc>
      </w:tr>
      <w:tr>
        <w:tc>
          <w:tcPr>
            <w:tcW w:type="dxa" w:w="4800"/>
            <w:shd w:fill="F5F7FA"/>
          </w:tcPr>
          <w:p>
            <w:pPr>
              <w:spacing w:after="0" w:before="0"/>
            </w:pPr>
            <w:r/>
            <w:r>
              <w:rPr>
                <w:rFonts w:ascii="Aptos" w:hAnsi="Aptos"/>
                <w:b/>
                <w:color w:val="132039"/>
                <w:sz w:val="16"/>
              </w:rPr>
              <w:t>15</w:t>
            </w:r>
          </w:p>
        </w:tc>
        <w:tc>
          <w:tcPr>
            <w:tcW w:type="dxa" w:w="4800"/>
            <w:tcMar>
              <w:top w:w="90" w:type="dxa"/>
              <w:start w:w="90" w:type="dxa"/>
              <w:bottom w:w="90" w:type="dxa"/>
              <w:end w:w="90" w:type="dxa"/>
            </w:tcMar>
            <w:vAlign w:val="top"/>
          </w:tcPr>
          <w:p>
            <w:pPr>
              <w:spacing w:after="40"/>
            </w:pPr>
            <w:r/>
            <w:r>
              <w:rPr>
                <w:rFonts w:ascii="Aptos" w:hAnsi="Aptos"/>
                <w:b/>
                <w:color w:val="132039"/>
                <w:sz w:val="15"/>
              </w:rPr>
              <w:t>6. Research Implications</w:t>
              <w:br/>
            </w:r>
            <w:r>
              <w:rPr>
                <w:rFonts w:ascii="Aptos" w:hAnsi="Aptos"/>
                <w:color w:val="1D1D1F"/>
                <w:sz w:val="14"/>
              </w:rPr>
              <w:t>A thesis that investigates attachment and emotional regulation should avoid simplistic causal language. Attachment patterns are not diagnostic labels, and emotional regulation strategies are not fixed traits. They are probabilistic tendencies shaped by relational history, current stressors, culture, gender expectations, institutional context, and mental health status. Quantitative studies may examine associations between attachment dimensions, emotion regulation scales, anxiety symptoms, and academic outcomes. Qualitative studies may explore how students narrate support, autonomy, shame, and failure.</w:t>
            </w:r>
          </w:p>
        </w:tc>
        <w:tc>
          <w:tcPr>
            <w:tcW w:type="dxa" w:w="4800"/>
            <w:tcMar>
              <w:top w:w="90" w:type="dxa"/>
              <w:start w:w="90" w:type="dxa"/>
              <w:bottom w:w="90" w:type="dxa"/>
              <w:end w:w="90" w:type="dxa"/>
            </w:tcMar>
            <w:vAlign w:val="top"/>
          </w:tcPr>
          <w:p>
            <w:pPr>
              <w:spacing w:after="40"/>
            </w:pPr>
            <w:r/>
            <w:r>
              <w:rPr>
                <w:rFonts w:ascii="Aptos" w:hAnsi="Aptos"/>
                <w:b/>
                <w:color w:val="132039"/>
                <w:sz w:val="15"/>
              </w:rPr>
              <w:t>6. Implicaciones para la investigación</w:t>
              <w:br/>
            </w:r>
            <w:r>
              <w:rPr>
                <w:rFonts w:ascii="Aptos" w:hAnsi="Aptos"/>
                <w:color w:val="1D1D1F"/>
                <w:sz w:val="14"/>
              </w:rPr>
              <w:t>Una tesis que investigue el apego y la regulación emocional debe evitar el lenguaje causal simplista. Los patrones de apego no son etiquetas diagnósticas y las estrategias de regulación emocional no son rasgos fijos. Son tendencias probabilísticas moldeadas por la historia relacional, los estresores actuales, la cultura, las expectativas de género, el contexto institucional y el estado de salud mental. Los estudios cuantitativos pueden examinar asociaciones entre dimensiones de apego, escalas de regulación emocional, síntomas de ansiedad y resultados académicos. Los estudios cualitativos pueden explorar cómo los estudiantes narran el apoyo, la autonomía, la vergüenza y el fracaso.</w:t>
            </w:r>
          </w:p>
        </w:tc>
      </w:tr>
      <w:tr>
        <w:tc>
          <w:tcPr>
            <w:tcW w:type="dxa" w:w="4800"/>
            <w:shd w:fill="F5F7FA"/>
          </w:tcPr>
          <w:p>
            <w:pPr>
              <w:spacing w:after="0" w:before="0"/>
            </w:pPr>
            <w:r/>
            <w:r>
              <w:rPr>
                <w:rFonts w:ascii="Aptos" w:hAnsi="Aptos"/>
                <w:b/>
                <w:color w:val="132039"/>
                <w:sz w:val="16"/>
              </w:rPr>
              <w:t>16</w:t>
            </w:r>
          </w:p>
        </w:tc>
        <w:tc>
          <w:tcPr>
            <w:tcW w:type="dxa" w:w="4800"/>
            <w:tcMar>
              <w:top w:w="90" w:type="dxa"/>
              <w:start w:w="90" w:type="dxa"/>
              <w:bottom w:w="90" w:type="dxa"/>
              <w:end w:w="90" w:type="dxa"/>
            </w:tcMar>
            <w:vAlign w:val="top"/>
          </w:tcPr>
          <w:p>
            <w:pPr>
              <w:spacing w:after="40"/>
            </w:pPr>
            <w:r/>
            <w:r>
              <w:rPr>
                <w:rFonts w:ascii="Aptos" w:hAnsi="Aptos"/>
                <w:color w:val="1D1D1F"/>
                <w:sz w:val="14"/>
              </w:rPr>
              <w:t>Methodologically, researchers should consider mixed designs. Standardized scales can identify patterns across groups, while interviews can reveal the meanings students assign to emotional experiences. A mixed approach is especially useful because the same external behavior may have different psychological functions. Silence may indicate calmness, avoidance, fatigue, cultural reserve, or mistrust. Frequent messaging may indicate collaboration, insecurity, social support, or dependency. Without contextual interpretation, data may be accurate but psychologically thin.</w:t>
            </w:r>
          </w:p>
        </w:tc>
        <w:tc>
          <w:tcPr>
            <w:tcW w:type="dxa" w:w="4800"/>
            <w:tcMar>
              <w:top w:w="90" w:type="dxa"/>
              <w:start w:w="90" w:type="dxa"/>
              <w:bottom w:w="90" w:type="dxa"/>
              <w:end w:w="90" w:type="dxa"/>
            </w:tcMar>
            <w:vAlign w:val="top"/>
          </w:tcPr>
          <w:p>
            <w:pPr>
              <w:spacing w:after="40"/>
            </w:pPr>
            <w:r/>
            <w:r>
              <w:rPr>
                <w:rFonts w:ascii="Aptos" w:hAnsi="Aptos"/>
                <w:color w:val="1D1D1F"/>
                <w:sz w:val="14"/>
              </w:rPr>
              <w:t>Metodológicamente, los investigadores deberían considerar diseños mixtos. Las escalas estandarizadas pueden identificar patrones entre grupos, mientras que las entrevistas pueden revelar los significados que los estudiantes atribuyen a las experiencias emocionales. Un enfoque mixto resulta especialmente útil porque la misma conducta externa puede tener funciones psicológicas distintas. El silencio puede indicar calma, evitación, fatiga, reserva cultural o desconfianza. La mensajería frecuente puede indicar colaboración, inseguridad, apoyo social o dependencia. Sin interpretación contextual, los datos pueden ser precisos, pero psicológicamente pobres.</w:t>
            </w:r>
          </w:p>
        </w:tc>
      </w:tr>
      <w:tr>
        <w:tc>
          <w:tcPr>
            <w:tcW w:type="dxa" w:w="4800"/>
            <w:shd w:fill="F5F7FA"/>
          </w:tcPr>
          <w:p>
            <w:pPr>
              <w:spacing w:after="0" w:before="0"/>
            </w:pPr>
            <w:r/>
            <w:r>
              <w:rPr>
                <w:rFonts w:ascii="Aptos" w:hAnsi="Aptos"/>
                <w:b/>
                <w:color w:val="132039"/>
                <w:sz w:val="16"/>
              </w:rPr>
              <w:t>17</w:t>
            </w:r>
          </w:p>
        </w:tc>
        <w:tc>
          <w:tcPr>
            <w:tcW w:type="dxa" w:w="4800"/>
            <w:tcMar>
              <w:top w:w="90" w:type="dxa"/>
              <w:start w:w="90" w:type="dxa"/>
              <w:bottom w:w="90" w:type="dxa"/>
              <w:end w:w="90" w:type="dxa"/>
            </w:tcMar>
            <w:vAlign w:val="top"/>
          </w:tcPr>
          <w:p>
            <w:pPr>
              <w:spacing w:after="40"/>
            </w:pPr>
            <w:r/>
            <w:r>
              <w:rPr>
                <w:rFonts w:ascii="Aptos" w:hAnsi="Aptos"/>
                <w:b/>
                <w:color w:val="132039"/>
                <w:sz w:val="15"/>
              </w:rPr>
              <w:t>7. Conclusion</w:t>
              <w:br/>
            </w:r>
            <w:r>
              <w:rPr>
                <w:rFonts w:ascii="Aptos" w:hAnsi="Aptos"/>
                <w:color w:val="1D1D1F"/>
                <w:sz w:val="14"/>
              </w:rPr>
              <w:t>Attachment and emotional regulation offer a powerful framework for understanding emerging adulthood. They illuminate how relational expectations become regulatory strategies and how these strategies influence academic life. The most useful perspective is neither deterministic nor pathologizing. Secure attachment does not eliminate distress, and insecure attachment does not condemn the individual to dysfunction. Rather, attachment patterns describe preferred ways of managing vulnerability. In academic settings, recognizing these patterns can improve research design, student support, clinical formulation, and translation of psychological terminology across languages.</w:t>
            </w:r>
          </w:p>
        </w:tc>
        <w:tc>
          <w:tcPr>
            <w:tcW w:type="dxa" w:w="4800"/>
            <w:tcMar>
              <w:top w:w="90" w:type="dxa"/>
              <w:start w:w="90" w:type="dxa"/>
              <w:bottom w:w="90" w:type="dxa"/>
              <w:end w:w="90" w:type="dxa"/>
            </w:tcMar>
            <w:vAlign w:val="top"/>
          </w:tcPr>
          <w:p>
            <w:pPr>
              <w:spacing w:after="40"/>
            </w:pPr>
            <w:r/>
            <w:r>
              <w:rPr>
                <w:rFonts w:ascii="Aptos" w:hAnsi="Aptos"/>
                <w:b/>
                <w:color w:val="132039"/>
                <w:sz w:val="15"/>
              </w:rPr>
              <w:t>7. Conclusión</w:t>
              <w:br/>
            </w:r>
            <w:r>
              <w:rPr>
                <w:rFonts w:ascii="Aptos" w:hAnsi="Aptos"/>
                <w:color w:val="1D1D1F"/>
                <w:sz w:val="14"/>
              </w:rPr>
              <w:t>El apego y la regulación emocional ofrecen un marco poderoso para comprender la adultez emergente. Iluminan cómo las expectativas relacionales se convierten en estrategias regulatorias y cómo estas estrategias influyen en la vida académica. La perspectiva más útil no es determinista ni patologizante. El apego seguro no elimina el malestar, y el apego inseguro no condena a la persona a la disfunción. Más bien, los patrones de apego describen formas preferidas de manejar la vulnerabilidad. En contextos académicos, reconocer estos patrones puede mejorar el diseño de investigación, el apoyo estudiantil, la formulación clínica y la traducción de terminología psicológica entre idiomas.</w:t>
            </w:r>
          </w:p>
        </w:tc>
      </w:tr>
    </w:tbl>
    <w:p>
      <w:pPr>
        <w:widowControl/>
        <w:sectPr>
          <w:headerReference w:type="default" r:id="rId11"/>
          <w:footerReference w:type="default" r:id="rId12"/>
          <w:pgSz w:w="15840" w:h="12240" w:orient="landscape"/>
          <w:pgMar w:top="792" w:right="720" w:bottom="792" w:left="720" w:header="720" w:footer="720" w:gutter="0"/>
          <w:cols w:space="720"/>
          <w:titlePg/>
          <w:docGrid w:linePitch="360"/>
        </w:sectPr>
      </w:pPr>
    </w:p>
    <w:p>
      <w:pPr>
        <w:widowControl/>
        <w:spacing w:before="240" w:after="60"/>
      </w:pPr>
      <w:r>
        <w:rPr>
          <w:rFonts w:ascii="Georgia" w:hAnsi="Georgia"/>
          <w:b/>
          <w:color w:val="132039"/>
          <w:sz w:val="36"/>
        </w:rPr>
        <w:t>Multilingual Addendum - 12 Language Sample</w:t>
      </w:r>
    </w:p>
    <w:p>
      <w:pPr>
        <w:widowControl/>
        <w:spacing w:after="200"/>
      </w:pPr>
      <w:r>
        <w:rPr>
          <w:rFonts w:ascii="Aptos" w:hAnsi="Aptos"/>
          <w:color w:val="5E6673"/>
          <w:sz w:val="20"/>
        </w:rPr>
        <w:t>Representative academic register across scripts and language families</w:t>
      </w:r>
    </w:p>
    <w:p>
      <w:pPr>
        <w:spacing w:after="240"/>
        <w:widowControl/>
        <w:pBdr>
          <w:bottom w:val="single" w:sz="12" w:space="1" w:color="D9B04C"/>
        </w:pBdr>
      </w:pPr>
      <w:r/>
    </w:p>
    <w:tbl>
      <w:tblPr>
        <w:tblW w:type="auto" w:w="0"/>
        <w:jc w:val="center"/>
        <w:tblLook w:firstColumn="1" w:firstRow="1" w:lastColumn="0" w:lastRow="0" w:noHBand="0" w:noVBand="1" w:val="04A0"/>
        <w:tblBorders>
          <w:top w:val="single" w:sz="6" w:space="0" w:color="C6CDD8"/>
          <w:left w:val="single" w:sz="6" w:space="0" w:color="C6CDD8"/>
          <w:bottom w:val="single" w:sz="6" w:space="0" w:color="C6CDD8"/>
          <w:right w:val="single" w:sz="6" w:space="0" w:color="C6CDD8"/>
          <w:insideH w:val="single" w:sz="6" w:space="0" w:color="C6CDD8"/>
          <w:insideV w:val="single" w:sz="6" w:space="0" w:color="C6CDD8"/>
        </w:tblBorders>
      </w:tblPr>
      <w:tblGrid>
        <w:gridCol w:w="2592"/>
        <w:gridCol w:w="2592"/>
        <w:gridCol w:w="2592"/>
        <w:gridCol w:w="2592"/>
      </w:tblGrid>
      <w:tr>
        <w:tc>
          <w:tcPr>
            <w:tcW w:type="dxa" w:w="2592"/>
            <w:shd w:fill="132039"/>
            <w:tcMar>
              <w:top w:w="100" w:type="dxa"/>
              <w:start w:w="80" w:type="dxa"/>
              <w:bottom w:w="100" w:type="dxa"/>
              <w:end w:w="80" w:type="dxa"/>
            </w:tcMar>
          </w:tcPr>
          <w:p>
            <w:pPr>
              <w:spacing w:after="0" w:before="0"/>
            </w:pPr>
            <w:r/>
            <w:r>
              <w:rPr>
                <w:rFonts w:ascii="Aptos" w:hAnsi="Aptos"/>
                <w:b/>
                <w:color w:val="FFFFFF"/>
                <w:sz w:val="16"/>
              </w:rPr>
              <w:t>Language</w:t>
            </w:r>
          </w:p>
        </w:tc>
        <w:tc>
          <w:tcPr>
            <w:tcW w:type="dxa" w:w="2592"/>
            <w:shd w:fill="132039"/>
            <w:tcMar>
              <w:top w:w="100" w:type="dxa"/>
              <w:start w:w="80" w:type="dxa"/>
              <w:bottom w:w="100" w:type="dxa"/>
              <w:end w:w="80" w:type="dxa"/>
            </w:tcMar>
          </w:tcPr>
          <w:p>
            <w:pPr>
              <w:spacing w:after="0" w:before="0"/>
            </w:pPr>
            <w:r/>
            <w:r>
              <w:rPr>
                <w:rFonts w:ascii="Aptos" w:hAnsi="Aptos"/>
                <w:b/>
                <w:color w:val="FFFFFF"/>
                <w:sz w:val="16"/>
              </w:rPr>
              <w:t>Code</w:t>
            </w:r>
          </w:p>
        </w:tc>
        <w:tc>
          <w:tcPr>
            <w:tcW w:type="dxa" w:w="2592"/>
            <w:shd w:fill="132039"/>
            <w:tcMar>
              <w:top w:w="100" w:type="dxa"/>
              <w:start w:w="80" w:type="dxa"/>
              <w:bottom w:w="100" w:type="dxa"/>
              <w:end w:w="80" w:type="dxa"/>
            </w:tcMar>
          </w:tcPr>
          <w:p>
            <w:pPr>
              <w:spacing w:after="0" w:before="0"/>
            </w:pPr>
            <w:r/>
            <w:r>
              <w:rPr>
                <w:rFonts w:ascii="Aptos" w:hAnsi="Aptos"/>
                <w:b/>
                <w:color w:val="FFFFFF"/>
                <w:sz w:val="16"/>
              </w:rPr>
              <w:t>Localized title</w:t>
            </w:r>
          </w:p>
        </w:tc>
        <w:tc>
          <w:tcPr>
            <w:tcW w:type="dxa" w:w="2592"/>
            <w:shd w:fill="132039"/>
            <w:tcMar>
              <w:top w:w="100" w:type="dxa"/>
              <w:start w:w="80" w:type="dxa"/>
              <w:bottom w:w="100" w:type="dxa"/>
              <w:end w:w="80" w:type="dxa"/>
            </w:tcMar>
          </w:tcPr>
          <w:p>
            <w:pPr>
              <w:spacing w:after="0" w:before="0"/>
            </w:pPr>
            <w:r/>
            <w:r>
              <w:rPr>
                <w:rFonts w:ascii="Aptos" w:hAnsi="Aptos"/>
                <w:b/>
                <w:color w:val="FFFFFF"/>
                <w:sz w:val="16"/>
              </w:rPr>
              <w:t>Translated abstract/excerpt</w:t>
            </w:r>
          </w:p>
        </w:tc>
      </w:tr>
      <w:tr>
        <w:tc>
          <w:tcPr>
            <w:tcW w:type="dxa" w:w="2592"/>
            <w:shd w:fill="F5F7FA"/>
            <w:tcMar>
              <w:top w:w="90" w:type="dxa"/>
              <w:start w:w="80" w:type="dxa"/>
              <w:bottom w:w="90" w:type="dxa"/>
              <w:end w:w="80" w:type="dxa"/>
            </w:tcMar>
          </w:tcPr>
          <w:p>
            <w:pPr>
              <w:spacing w:after="0" w:before="0"/>
            </w:pPr>
            <w:r/>
            <w:r>
              <w:rPr>
                <w:rFonts w:ascii="Aptos" w:hAnsi="Aptos"/>
                <w:b/>
                <w:color w:val="132039"/>
                <w:sz w:val="15"/>
              </w:rPr>
              <w:t>English</w:t>
            </w:r>
          </w:p>
        </w:tc>
        <w:tc>
          <w:tcPr>
            <w:tcW w:type="dxa" w:w="2592"/>
            <w:shd w:fill="F5F7FA"/>
            <w:tcMar>
              <w:top w:w="90" w:type="dxa"/>
              <w:start w:w="80" w:type="dxa"/>
              <w:bottom w:w="90" w:type="dxa"/>
              <w:end w:w="80" w:type="dxa"/>
            </w:tcMar>
          </w:tcPr>
          <w:p>
            <w:pPr>
              <w:spacing w:after="0" w:before="0"/>
            </w:pPr>
            <w:r/>
            <w:r>
              <w:rPr>
                <w:rFonts w:ascii="Aptos" w:hAnsi="Aptos"/>
                <w:b/>
                <w:color w:val="D9B04C"/>
                <w:sz w:val="15"/>
              </w:rPr>
              <w:t>EN</w:t>
            </w:r>
          </w:p>
        </w:tc>
        <w:tc>
          <w:tcPr>
            <w:tcW w:type="dxa" w:w="2592"/>
            <w:shd w:fill="F5F7FA"/>
            <w:tcMar>
              <w:top w:w="90" w:type="dxa"/>
              <w:start w:w="80" w:type="dxa"/>
              <w:bottom w:w="90" w:type="dxa"/>
              <w:end w:w="80" w:type="dxa"/>
            </w:tcMar>
          </w:tcPr>
          <w:p>
            <w:pPr>
              <w:spacing w:after="0" w:before="0"/>
            </w:pPr>
            <w:r/>
            <w:r>
              <w:rPr>
                <w:rFonts w:ascii="Aptos" w:hAnsi="Aptos"/>
                <w:b w:val="0"/>
                <w:color w:val="1D1D1F"/>
                <w:sz w:val="14"/>
              </w:rPr>
              <w:t>Attachment Patterns and Emotional Regulation in Emerging Adulthood</w:t>
            </w:r>
          </w:p>
        </w:tc>
        <w:tc>
          <w:tcPr>
            <w:tcW w:type="dxa" w:w="2592"/>
            <w:shd w:fill="F5F7FA"/>
            <w:tcMar>
              <w:top w:w="90" w:type="dxa"/>
              <w:start w:w="80" w:type="dxa"/>
              <w:bottom w:w="90" w:type="dxa"/>
              <w:end w:w="80" w:type="dxa"/>
            </w:tcMar>
          </w:tcPr>
          <w:p>
            <w:pPr>
              <w:spacing w:after="0" w:before="0"/>
            </w:pPr>
            <w:r/>
            <w:r>
              <w:rPr>
                <w:rFonts w:ascii="Aptos" w:hAnsi="Aptos"/>
                <w:b w:val="0"/>
                <w:color w:val="1D1D1F"/>
                <w:sz w:val="14"/>
              </w:rPr>
              <w:t>This sample demonstrates the translation of a thesis chapter on attachment patterns, emotional regulation, and academic functioning. It preserves academic tone, conceptual precision, and psychological terminology.</w:t>
            </w:r>
          </w:p>
        </w:tc>
      </w:tr>
      <w:tr>
        <w:tc>
          <w:tcPr>
            <w:tcW w:type="dxa" w:w="2592"/>
            <w:shd w:fill="FFFFFF"/>
            <w:tcMar>
              <w:top w:w="90" w:type="dxa"/>
              <w:start w:w="80" w:type="dxa"/>
              <w:bottom w:w="90" w:type="dxa"/>
              <w:end w:w="80" w:type="dxa"/>
            </w:tcMar>
          </w:tcPr>
          <w:p>
            <w:pPr>
              <w:spacing w:after="0" w:before="0"/>
            </w:pPr>
            <w:r/>
            <w:r>
              <w:rPr>
                <w:rFonts w:ascii="Aptos" w:hAnsi="Aptos"/>
                <w:b/>
                <w:color w:val="132039"/>
                <w:sz w:val="15"/>
              </w:rPr>
              <w:t>Español</w:t>
            </w:r>
          </w:p>
        </w:tc>
        <w:tc>
          <w:tcPr>
            <w:tcW w:type="dxa" w:w="2592"/>
            <w:shd w:fill="FFFFFF"/>
            <w:tcMar>
              <w:top w:w="90" w:type="dxa"/>
              <w:start w:w="80" w:type="dxa"/>
              <w:bottom w:w="90" w:type="dxa"/>
              <w:end w:w="80" w:type="dxa"/>
            </w:tcMar>
          </w:tcPr>
          <w:p>
            <w:pPr>
              <w:spacing w:after="0" w:before="0"/>
            </w:pPr>
            <w:r/>
            <w:r>
              <w:rPr>
                <w:rFonts w:ascii="Aptos" w:hAnsi="Aptos"/>
                <w:b/>
                <w:color w:val="D9B04C"/>
                <w:sz w:val="15"/>
              </w:rPr>
              <w:t>ES</w:t>
            </w:r>
          </w:p>
        </w:tc>
        <w:tc>
          <w:tcPr>
            <w:tcW w:type="dxa" w:w="2592"/>
            <w:shd w:fill="FFFFFF"/>
            <w:tcMar>
              <w:top w:w="90" w:type="dxa"/>
              <w:start w:w="80" w:type="dxa"/>
              <w:bottom w:w="90" w:type="dxa"/>
              <w:end w:w="80" w:type="dxa"/>
            </w:tcMar>
          </w:tcPr>
          <w:p>
            <w:pPr>
              <w:spacing w:after="0" w:before="0"/>
            </w:pPr>
            <w:r/>
            <w:r>
              <w:rPr>
                <w:rFonts w:ascii="Aptos" w:hAnsi="Aptos"/>
                <w:b w:val="0"/>
                <w:color w:val="1D1D1F"/>
                <w:sz w:val="14"/>
              </w:rPr>
              <w:t>Patrones de apego y regulación emocional en la adultez emergente</w:t>
            </w:r>
          </w:p>
        </w:tc>
        <w:tc>
          <w:tcPr>
            <w:tcW w:type="dxa" w:w="2592"/>
            <w:shd w:fill="FFFFFF"/>
            <w:tcMar>
              <w:top w:w="90" w:type="dxa"/>
              <w:start w:w="80" w:type="dxa"/>
              <w:bottom w:w="90" w:type="dxa"/>
              <w:end w:w="80" w:type="dxa"/>
            </w:tcMar>
          </w:tcPr>
          <w:p>
            <w:pPr>
              <w:spacing w:after="0" w:before="0"/>
            </w:pPr>
            <w:r/>
            <w:r>
              <w:rPr>
                <w:rFonts w:ascii="Aptos" w:hAnsi="Aptos"/>
                <w:b w:val="0"/>
                <w:color w:val="1D1D1F"/>
                <w:sz w:val="14"/>
              </w:rPr>
              <w:t>Esta muestra demuestra la traducción de un capítulo de tesis sobre patrones de apego, regulación emocional y funcionamiento académico. Conserva el tono académico, la precisión conceptual y la terminología psicológica.</w:t>
            </w:r>
          </w:p>
        </w:tc>
      </w:tr>
      <w:tr>
        <w:tc>
          <w:tcPr>
            <w:tcW w:type="dxa" w:w="2592"/>
            <w:shd w:fill="F5F7FA"/>
            <w:tcMar>
              <w:top w:w="90" w:type="dxa"/>
              <w:start w:w="80" w:type="dxa"/>
              <w:bottom w:w="90" w:type="dxa"/>
              <w:end w:w="80" w:type="dxa"/>
            </w:tcMar>
          </w:tcPr>
          <w:p>
            <w:pPr>
              <w:spacing w:after="0" w:before="0"/>
            </w:pPr>
            <w:r/>
            <w:r>
              <w:rPr>
                <w:rFonts w:ascii="Aptos" w:hAnsi="Aptos"/>
                <w:b/>
                <w:color w:val="132039"/>
                <w:sz w:val="15"/>
              </w:rPr>
              <w:t>Deutsch</w:t>
            </w:r>
          </w:p>
        </w:tc>
        <w:tc>
          <w:tcPr>
            <w:tcW w:type="dxa" w:w="2592"/>
            <w:shd w:fill="F5F7FA"/>
            <w:tcMar>
              <w:top w:w="90" w:type="dxa"/>
              <w:start w:w="80" w:type="dxa"/>
              <w:bottom w:w="90" w:type="dxa"/>
              <w:end w:w="80" w:type="dxa"/>
            </w:tcMar>
          </w:tcPr>
          <w:p>
            <w:pPr>
              <w:spacing w:after="0" w:before="0"/>
            </w:pPr>
            <w:r/>
            <w:r>
              <w:rPr>
                <w:rFonts w:ascii="Aptos" w:hAnsi="Aptos"/>
                <w:b/>
                <w:color w:val="D9B04C"/>
                <w:sz w:val="15"/>
              </w:rPr>
              <w:t>DE</w:t>
            </w:r>
          </w:p>
        </w:tc>
        <w:tc>
          <w:tcPr>
            <w:tcW w:type="dxa" w:w="2592"/>
            <w:shd w:fill="F5F7FA"/>
            <w:tcMar>
              <w:top w:w="90" w:type="dxa"/>
              <w:start w:w="80" w:type="dxa"/>
              <w:bottom w:w="90" w:type="dxa"/>
              <w:end w:w="80" w:type="dxa"/>
            </w:tcMar>
          </w:tcPr>
          <w:p>
            <w:pPr>
              <w:spacing w:after="0" w:before="0"/>
            </w:pPr>
            <w:r/>
            <w:r>
              <w:rPr>
                <w:rFonts w:ascii="Aptos" w:hAnsi="Aptos"/>
                <w:b w:val="0"/>
                <w:color w:val="1D1D1F"/>
                <w:sz w:val="14"/>
              </w:rPr>
              <w:t>Bindungsmuster und Emotionsregulation im jungen Erwachsenenalter</w:t>
            </w:r>
          </w:p>
        </w:tc>
        <w:tc>
          <w:tcPr>
            <w:tcW w:type="dxa" w:w="2592"/>
            <w:shd w:fill="F5F7FA"/>
            <w:tcMar>
              <w:top w:w="90" w:type="dxa"/>
              <w:start w:w="80" w:type="dxa"/>
              <w:bottom w:w="90" w:type="dxa"/>
              <w:end w:w="80" w:type="dxa"/>
            </w:tcMar>
          </w:tcPr>
          <w:p>
            <w:pPr>
              <w:spacing w:after="0" w:before="0"/>
            </w:pPr>
            <w:r/>
            <w:r>
              <w:rPr>
                <w:rFonts w:ascii="Aptos" w:hAnsi="Aptos"/>
                <w:b w:val="0"/>
                <w:color w:val="1D1D1F"/>
                <w:sz w:val="14"/>
              </w:rPr>
              <w:t>Diese Probe zeigt die Übersetzung eines Dissertationskapitels über Bindungsmuster, Emotionsregulation und akademisches Funktionieren. Sie bewahrt den akademischen Stil, die begriffliche Genauigkeit und die psychologische Terminologie.</w:t>
            </w:r>
          </w:p>
        </w:tc>
      </w:tr>
      <w:tr>
        <w:tc>
          <w:tcPr>
            <w:tcW w:type="dxa" w:w="2592"/>
            <w:shd w:fill="FFFFFF"/>
            <w:tcMar>
              <w:top w:w="90" w:type="dxa"/>
              <w:start w:w="80" w:type="dxa"/>
              <w:bottom w:w="90" w:type="dxa"/>
              <w:end w:w="80" w:type="dxa"/>
            </w:tcMar>
          </w:tcPr>
          <w:p>
            <w:pPr>
              <w:spacing w:after="0" w:before="0"/>
            </w:pPr>
            <w:r/>
            <w:r>
              <w:rPr>
                <w:rFonts w:ascii="Aptos" w:hAnsi="Aptos"/>
                <w:b/>
                <w:color w:val="132039"/>
                <w:sz w:val="15"/>
              </w:rPr>
              <w:t>Français</w:t>
            </w:r>
          </w:p>
        </w:tc>
        <w:tc>
          <w:tcPr>
            <w:tcW w:type="dxa" w:w="2592"/>
            <w:shd w:fill="FFFFFF"/>
            <w:tcMar>
              <w:top w:w="90" w:type="dxa"/>
              <w:start w:w="80" w:type="dxa"/>
              <w:bottom w:w="90" w:type="dxa"/>
              <w:end w:w="80" w:type="dxa"/>
            </w:tcMar>
          </w:tcPr>
          <w:p>
            <w:pPr>
              <w:spacing w:after="0" w:before="0"/>
            </w:pPr>
            <w:r/>
            <w:r>
              <w:rPr>
                <w:rFonts w:ascii="Aptos" w:hAnsi="Aptos"/>
                <w:b/>
                <w:color w:val="D9B04C"/>
                <w:sz w:val="15"/>
              </w:rPr>
              <w:t>FR</w:t>
            </w:r>
          </w:p>
        </w:tc>
        <w:tc>
          <w:tcPr>
            <w:tcW w:type="dxa" w:w="2592"/>
            <w:shd w:fill="FFFFFF"/>
            <w:tcMar>
              <w:top w:w="90" w:type="dxa"/>
              <w:start w:w="80" w:type="dxa"/>
              <w:bottom w:w="90" w:type="dxa"/>
              <w:end w:w="80" w:type="dxa"/>
            </w:tcMar>
          </w:tcPr>
          <w:p>
            <w:pPr>
              <w:spacing w:after="0" w:before="0"/>
            </w:pPr>
            <w:r/>
            <w:r>
              <w:rPr>
                <w:rFonts w:ascii="Aptos" w:hAnsi="Aptos"/>
                <w:b w:val="0"/>
                <w:color w:val="1D1D1F"/>
                <w:sz w:val="14"/>
              </w:rPr>
              <w:t>Styles d'attachement et régulation émotionnelle chez les jeunes adultes</w:t>
            </w:r>
          </w:p>
        </w:tc>
        <w:tc>
          <w:tcPr>
            <w:tcW w:type="dxa" w:w="2592"/>
            <w:shd w:fill="FFFFFF"/>
            <w:tcMar>
              <w:top w:w="90" w:type="dxa"/>
              <w:start w:w="80" w:type="dxa"/>
              <w:bottom w:w="90" w:type="dxa"/>
              <w:end w:w="80" w:type="dxa"/>
            </w:tcMar>
          </w:tcPr>
          <w:p>
            <w:pPr>
              <w:spacing w:after="0" w:before="0"/>
            </w:pPr>
            <w:r/>
            <w:r>
              <w:rPr>
                <w:rFonts w:ascii="Aptos" w:hAnsi="Aptos"/>
                <w:b w:val="0"/>
                <w:color w:val="1D1D1F"/>
                <w:sz w:val="14"/>
              </w:rPr>
              <w:t>Cet échantillon présente la traduction d'un chapitre de mémoire portant sur les styles d'attachement, la régulation émotionnelle et le fonctionnement académique. Il conserve le registre universitaire, la précision conceptuelle et la terminologie psychologique.</w:t>
            </w:r>
          </w:p>
        </w:tc>
      </w:tr>
      <w:tr>
        <w:tc>
          <w:tcPr>
            <w:tcW w:type="dxa" w:w="2592"/>
            <w:shd w:fill="F5F7FA"/>
            <w:tcMar>
              <w:top w:w="90" w:type="dxa"/>
              <w:start w:w="80" w:type="dxa"/>
              <w:bottom w:w="90" w:type="dxa"/>
              <w:end w:w="80" w:type="dxa"/>
            </w:tcMar>
          </w:tcPr>
          <w:p>
            <w:pPr>
              <w:spacing w:after="0" w:before="0"/>
            </w:pPr>
            <w:r/>
            <w:r>
              <w:rPr>
                <w:rFonts w:ascii="Aptos" w:hAnsi="Aptos"/>
                <w:b/>
                <w:color w:val="132039"/>
                <w:sz w:val="15"/>
              </w:rPr>
              <w:t>Português</w:t>
            </w:r>
          </w:p>
        </w:tc>
        <w:tc>
          <w:tcPr>
            <w:tcW w:type="dxa" w:w="2592"/>
            <w:shd w:fill="F5F7FA"/>
            <w:tcMar>
              <w:top w:w="90" w:type="dxa"/>
              <w:start w:w="80" w:type="dxa"/>
              <w:bottom w:w="90" w:type="dxa"/>
              <w:end w:w="80" w:type="dxa"/>
            </w:tcMar>
          </w:tcPr>
          <w:p>
            <w:pPr>
              <w:spacing w:after="0" w:before="0"/>
            </w:pPr>
            <w:r/>
            <w:r>
              <w:rPr>
                <w:rFonts w:ascii="Aptos" w:hAnsi="Aptos"/>
                <w:b/>
                <w:color w:val="D9B04C"/>
                <w:sz w:val="15"/>
              </w:rPr>
              <w:t>PT</w:t>
            </w:r>
          </w:p>
        </w:tc>
        <w:tc>
          <w:tcPr>
            <w:tcW w:type="dxa" w:w="2592"/>
            <w:shd w:fill="F5F7FA"/>
            <w:tcMar>
              <w:top w:w="90" w:type="dxa"/>
              <w:start w:w="80" w:type="dxa"/>
              <w:bottom w:w="90" w:type="dxa"/>
              <w:end w:w="80" w:type="dxa"/>
            </w:tcMar>
          </w:tcPr>
          <w:p>
            <w:pPr>
              <w:spacing w:after="0" w:before="0"/>
            </w:pPr>
            <w:r/>
            <w:r>
              <w:rPr>
                <w:rFonts w:ascii="Aptos" w:hAnsi="Aptos"/>
                <w:b w:val="0"/>
                <w:color w:val="1D1D1F"/>
                <w:sz w:val="14"/>
              </w:rPr>
              <w:t>Padrões de apego e regulação emocional na adultez emergente</w:t>
            </w:r>
          </w:p>
        </w:tc>
        <w:tc>
          <w:tcPr>
            <w:tcW w:type="dxa" w:w="2592"/>
            <w:shd w:fill="F5F7FA"/>
            <w:tcMar>
              <w:top w:w="90" w:type="dxa"/>
              <w:start w:w="80" w:type="dxa"/>
              <w:bottom w:w="90" w:type="dxa"/>
              <w:end w:w="80" w:type="dxa"/>
            </w:tcMar>
          </w:tcPr>
          <w:p>
            <w:pPr>
              <w:spacing w:after="0" w:before="0"/>
            </w:pPr>
            <w:r/>
            <w:r>
              <w:rPr>
                <w:rFonts w:ascii="Aptos" w:hAnsi="Aptos"/>
                <w:b w:val="0"/>
                <w:color w:val="1D1D1F"/>
                <w:sz w:val="14"/>
              </w:rPr>
              <w:t>Esta amostra demonstra a tradução de um capítulo de tese sobre padrões de apego, regulação emocional e funcionamento acadêmico. Mantém o tom acadêmico, a precisão conceitual e a terminologia psicológica.</w:t>
            </w:r>
          </w:p>
        </w:tc>
      </w:tr>
      <w:tr>
        <w:tc>
          <w:tcPr>
            <w:tcW w:type="dxa" w:w="2592"/>
            <w:shd w:fill="FFFFFF"/>
            <w:tcMar>
              <w:top w:w="90" w:type="dxa"/>
              <w:start w:w="80" w:type="dxa"/>
              <w:bottom w:w="90" w:type="dxa"/>
              <w:end w:w="80" w:type="dxa"/>
            </w:tcMar>
          </w:tcPr>
          <w:p>
            <w:pPr>
              <w:spacing w:after="0" w:before="0"/>
            </w:pPr>
            <w:r/>
            <w:r>
              <w:rPr>
                <w:rFonts w:ascii="Aptos" w:hAnsi="Aptos"/>
                <w:b/>
                <w:color w:val="132039"/>
                <w:sz w:val="15"/>
              </w:rPr>
              <w:t>Italiano</w:t>
            </w:r>
          </w:p>
        </w:tc>
        <w:tc>
          <w:tcPr>
            <w:tcW w:type="dxa" w:w="2592"/>
            <w:shd w:fill="FFFFFF"/>
            <w:tcMar>
              <w:top w:w="90" w:type="dxa"/>
              <w:start w:w="80" w:type="dxa"/>
              <w:bottom w:w="90" w:type="dxa"/>
              <w:end w:w="80" w:type="dxa"/>
            </w:tcMar>
          </w:tcPr>
          <w:p>
            <w:pPr>
              <w:spacing w:after="0" w:before="0"/>
            </w:pPr>
            <w:r/>
            <w:r>
              <w:rPr>
                <w:rFonts w:ascii="Aptos" w:hAnsi="Aptos"/>
                <w:b/>
                <w:color w:val="D9B04C"/>
                <w:sz w:val="15"/>
              </w:rPr>
              <w:t>IT</w:t>
            </w:r>
          </w:p>
        </w:tc>
        <w:tc>
          <w:tcPr>
            <w:tcW w:type="dxa" w:w="2592"/>
            <w:shd w:fill="FFFFFF"/>
            <w:tcMar>
              <w:top w:w="90" w:type="dxa"/>
              <w:start w:w="80" w:type="dxa"/>
              <w:bottom w:w="90" w:type="dxa"/>
              <w:end w:w="80" w:type="dxa"/>
            </w:tcMar>
          </w:tcPr>
          <w:p>
            <w:pPr>
              <w:spacing w:after="0" w:before="0"/>
            </w:pPr>
            <w:r/>
            <w:r>
              <w:rPr>
                <w:rFonts w:ascii="Aptos" w:hAnsi="Aptos"/>
                <w:b w:val="0"/>
                <w:color w:val="1D1D1F"/>
                <w:sz w:val="14"/>
              </w:rPr>
              <w:t>Pattern di attaccamento e regolazione emotiva nell'età adulta emergente</w:t>
            </w:r>
          </w:p>
        </w:tc>
        <w:tc>
          <w:tcPr>
            <w:tcW w:type="dxa" w:w="2592"/>
            <w:shd w:fill="FFFFFF"/>
            <w:tcMar>
              <w:top w:w="90" w:type="dxa"/>
              <w:start w:w="80" w:type="dxa"/>
              <w:bottom w:w="90" w:type="dxa"/>
              <w:end w:w="80" w:type="dxa"/>
            </w:tcMar>
          </w:tcPr>
          <w:p>
            <w:pPr>
              <w:spacing w:after="0" w:before="0"/>
            </w:pPr>
            <w:r/>
            <w:r>
              <w:rPr>
                <w:rFonts w:ascii="Aptos" w:hAnsi="Aptos"/>
                <w:b w:val="0"/>
                <w:color w:val="1D1D1F"/>
                <w:sz w:val="14"/>
              </w:rPr>
              <w:t>Questo campione mostra la traduzione di un capitolo di tesi sui pattern di attaccamento, la regolazione emotiva e il funzionamento accademico. Conserva il registro accademico, la precisione concettuale e la terminologia psicologica.</w:t>
            </w:r>
          </w:p>
        </w:tc>
      </w:tr>
      <w:tr>
        <w:tc>
          <w:tcPr>
            <w:tcW w:type="dxa" w:w="2592"/>
            <w:shd w:fill="F5F7FA"/>
            <w:tcMar>
              <w:top w:w="90" w:type="dxa"/>
              <w:start w:w="80" w:type="dxa"/>
              <w:bottom w:w="90" w:type="dxa"/>
              <w:end w:w="80" w:type="dxa"/>
            </w:tcMar>
          </w:tcPr>
          <w:p>
            <w:pPr>
              <w:spacing w:after="0" w:before="0"/>
            </w:pPr>
            <w:r/>
            <w:r>
              <w:rPr>
                <w:rFonts w:ascii="Aptos" w:hAnsi="Aptos"/>
                <w:b/>
                <w:color w:val="132039"/>
                <w:sz w:val="15"/>
              </w:rPr>
              <w:t>Русский</w:t>
            </w:r>
          </w:p>
        </w:tc>
        <w:tc>
          <w:tcPr>
            <w:tcW w:type="dxa" w:w="2592"/>
            <w:shd w:fill="F5F7FA"/>
            <w:tcMar>
              <w:top w:w="90" w:type="dxa"/>
              <w:start w:w="80" w:type="dxa"/>
              <w:bottom w:w="90" w:type="dxa"/>
              <w:end w:w="80" w:type="dxa"/>
            </w:tcMar>
          </w:tcPr>
          <w:p>
            <w:pPr>
              <w:spacing w:after="0" w:before="0"/>
            </w:pPr>
            <w:r/>
            <w:r>
              <w:rPr>
                <w:rFonts w:ascii="Aptos" w:hAnsi="Aptos"/>
                <w:b/>
                <w:color w:val="D9B04C"/>
                <w:sz w:val="15"/>
              </w:rPr>
              <w:t>RU</w:t>
            </w:r>
          </w:p>
        </w:tc>
        <w:tc>
          <w:tcPr>
            <w:tcW w:type="dxa" w:w="2592"/>
            <w:shd w:fill="F5F7FA"/>
            <w:tcMar>
              <w:top w:w="90" w:type="dxa"/>
              <w:start w:w="80" w:type="dxa"/>
              <w:bottom w:w="90" w:type="dxa"/>
              <w:end w:w="80" w:type="dxa"/>
            </w:tcMar>
          </w:tcPr>
          <w:p>
            <w:pPr>
              <w:spacing w:after="0" w:before="0"/>
            </w:pPr>
            <w:r/>
            <w:r>
              <w:rPr>
                <w:rFonts w:ascii="Aptos" w:hAnsi="Aptos"/>
                <w:b w:val="0"/>
                <w:color w:val="1D1D1F"/>
                <w:sz w:val="14"/>
              </w:rPr>
              <w:t>Паттерны привязанности и эмоциональная регуляция в период становления взрослости</w:t>
            </w:r>
          </w:p>
        </w:tc>
        <w:tc>
          <w:tcPr>
            <w:tcW w:type="dxa" w:w="2592"/>
            <w:shd w:fill="F5F7FA"/>
            <w:tcMar>
              <w:top w:w="90" w:type="dxa"/>
              <w:start w:w="80" w:type="dxa"/>
              <w:bottom w:w="90" w:type="dxa"/>
              <w:end w:w="80" w:type="dxa"/>
            </w:tcMar>
          </w:tcPr>
          <w:p>
            <w:pPr>
              <w:spacing w:after="0" w:before="0"/>
            </w:pPr>
            <w:r/>
            <w:r>
              <w:rPr>
                <w:rFonts w:ascii="Aptos" w:hAnsi="Aptos"/>
                <w:b w:val="0"/>
                <w:color w:val="1D1D1F"/>
                <w:sz w:val="14"/>
              </w:rPr>
              <w:t>Этот образец демонстрирует перевод главы диссертации о паттернах привязанности, эмоциональной регуляции и академическом функционировании. Он сохраняет академический стиль, концептуальную точность и психологическую терминологию.</w:t>
            </w:r>
          </w:p>
        </w:tc>
      </w:tr>
      <w:tr>
        <w:tc>
          <w:tcPr>
            <w:tcW w:type="dxa" w:w="2592"/>
            <w:shd w:fill="FFFFFF"/>
            <w:tcMar>
              <w:top w:w="90" w:type="dxa"/>
              <w:start w:w="80" w:type="dxa"/>
              <w:bottom w:w="90" w:type="dxa"/>
              <w:end w:w="80" w:type="dxa"/>
            </w:tcMar>
          </w:tcPr>
          <w:p>
            <w:pPr>
              <w:spacing w:after="0" w:before="0"/>
            </w:pPr>
            <w:r/>
            <w:r>
              <w:rPr>
                <w:rFonts w:ascii="Aptos" w:hAnsi="Aptos"/>
                <w:b/>
                <w:color w:val="132039"/>
                <w:sz w:val="15"/>
              </w:rPr>
              <w:t>Čeština</w:t>
            </w:r>
          </w:p>
        </w:tc>
        <w:tc>
          <w:tcPr>
            <w:tcW w:type="dxa" w:w="2592"/>
            <w:shd w:fill="FFFFFF"/>
            <w:tcMar>
              <w:top w:w="90" w:type="dxa"/>
              <w:start w:w="80" w:type="dxa"/>
              <w:bottom w:w="90" w:type="dxa"/>
              <w:end w:w="80" w:type="dxa"/>
            </w:tcMar>
          </w:tcPr>
          <w:p>
            <w:pPr>
              <w:spacing w:after="0" w:before="0"/>
            </w:pPr>
            <w:r/>
            <w:r>
              <w:rPr>
                <w:rFonts w:ascii="Aptos" w:hAnsi="Aptos"/>
                <w:b/>
                <w:color w:val="D9B04C"/>
                <w:sz w:val="15"/>
              </w:rPr>
              <w:t>CS</w:t>
            </w:r>
          </w:p>
        </w:tc>
        <w:tc>
          <w:tcPr>
            <w:tcW w:type="dxa" w:w="2592"/>
            <w:shd w:fill="FFFFFF"/>
            <w:tcMar>
              <w:top w:w="90" w:type="dxa"/>
              <w:start w:w="80" w:type="dxa"/>
              <w:bottom w:w="90" w:type="dxa"/>
              <w:end w:w="80" w:type="dxa"/>
            </w:tcMar>
          </w:tcPr>
          <w:p>
            <w:pPr>
              <w:spacing w:after="0" w:before="0"/>
            </w:pPr>
            <w:r/>
            <w:r>
              <w:rPr>
                <w:rFonts w:ascii="Aptos" w:hAnsi="Aptos"/>
                <w:b w:val="0"/>
                <w:color w:val="1D1D1F"/>
                <w:sz w:val="14"/>
              </w:rPr>
              <w:t>Vzorce attachmentu a emoční regulace v období nastupující dospělosti</w:t>
            </w:r>
          </w:p>
        </w:tc>
        <w:tc>
          <w:tcPr>
            <w:tcW w:type="dxa" w:w="2592"/>
            <w:shd w:fill="FFFFFF"/>
            <w:tcMar>
              <w:top w:w="90" w:type="dxa"/>
              <w:start w:w="80" w:type="dxa"/>
              <w:bottom w:w="90" w:type="dxa"/>
              <w:end w:w="80" w:type="dxa"/>
            </w:tcMar>
          </w:tcPr>
          <w:p>
            <w:pPr>
              <w:spacing w:after="0" w:before="0"/>
            </w:pPr>
            <w:r/>
            <w:r>
              <w:rPr>
                <w:rFonts w:ascii="Aptos" w:hAnsi="Aptos"/>
                <w:b w:val="0"/>
                <w:color w:val="1D1D1F"/>
                <w:sz w:val="14"/>
              </w:rPr>
              <w:t>Tato ukázka představuje překlad kapitoly diplomové práce o vzorcích attachmentu, emoční regulaci a akademickém fungování. Zachovává akademický styl, pojmovou přesnost a psychologickou terminologii.</w:t>
            </w:r>
          </w:p>
        </w:tc>
      </w:tr>
      <w:tr>
        <w:tc>
          <w:tcPr>
            <w:tcW w:type="dxa" w:w="2592"/>
            <w:shd w:fill="F5F7FA"/>
            <w:tcMar>
              <w:top w:w="90" w:type="dxa"/>
              <w:start w:w="80" w:type="dxa"/>
              <w:bottom w:w="90" w:type="dxa"/>
              <w:end w:w="80" w:type="dxa"/>
            </w:tcMar>
          </w:tcPr>
          <w:p>
            <w:pPr>
              <w:spacing w:after="0" w:before="0"/>
            </w:pPr>
            <w:r/>
            <w:r>
              <w:rPr>
                <w:rFonts w:ascii="Noto Sans CJK SC" w:hAnsi="Noto Sans CJK SC"/>
                <w:b/>
                <w:color w:val="132039"/>
                <w:sz w:val="15"/>
              </w:rPr>
              <w:t>中文</w:t>
            </w:r>
          </w:p>
        </w:tc>
        <w:tc>
          <w:tcPr>
            <w:tcW w:type="dxa" w:w="2592"/>
            <w:shd w:fill="F5F7FA"/>
            <w:tcMar>
              <w:top w:w="90" w:type="dxa"/>
              <w:start w:w="80" w:type="dxa"/>
              <w:bottom w:w="90" w:type="dxa"/>
              <w:end w:w="80" w:type="dxa"/>
            </w:tcMar>
          </w:tcPr>
          <w:p>
            <w:pPr>
              <w:spacing w:after="0" w:before="0"/>
            </w:pPr>
            <w:r/>
            <w:r>
              <w:rPr>
                <w:rFonts w:ascii="Aptos" w:hAnsi="Aptos"/>
                <w:b/>
                <w:color w:val="D9B04C"/>
                <w:sz w:val="15"/>
              </w:rPr>
              <w:t>ZH</w:t>
            </w:r>
          </w:p>
        </w:tc>
        <w:tc>
          <w:tcPr>
            <w:tcW w:type="dxa" w:w="2592"/>
            <w:shd w:fill="F5F7FA"/>
            <w:tcMar>
              <w:top w:w="90" w:type="dxa"/>
              <w:start w:w="80" w:type="dxa"/>
              <w:bottom w:w="90" w:type="dxa"/>
              <w:end w:w="80" w:type="dxa"/>
            </w:tcMar>
          </w:tcPr>
          <w:p>
            <w:pPr>
              <w:spacing w:after="0" w:before="0"/>
            </w:pPr>
            <w:r/>
            <w:r>
              <w:rPr>
                <w:rFonts w:ascii="Noto Sans CJK SC" w:hAnsi="Noto Sans CJK SC"/>
                <w:b w:val="0"/>
                <w:color w:val="1D1D1F"/>
                <w:sz w:val="14"/>
              </w:rPr>
              <w:t>成年初显期的依恋模式与情绪调节</w:t>
            </w:r>
          </w:p>
        </w:tc>
        <w:tc>
          <w:tcPr>
            <w:tcW w:type="dxa" w:w="2592"/>
            <w:shd w:fill="F5F7FA"/>
            <w:tcMar>
              <w:top w:w="90" w:type="dxa"/>
              <w:start w:w="80" w:type="dxa"/>
              <w:bottom w:w="90" w:type="dxa"/>
              <w:end w:w="80" w:type="dxa"/>
            </w:tcMar>
          </w:tcPr>
          <w:p>
            <w:pPr>
              <w:spacing w:after="0" w:before="0"/>
            </w:pPr>
            <w:r/>
            <w:r>
              <w:rPr>
                <w:rFonts w:ascii="Noto Sans CJK SC" w:hAnsi="Noto Sans CJK SC"/>
                <w:b w:val="0"/>
                <w:color w:val="1D1D1F"/>
                <w:sz w:val="14"/>
              </w:rPr>
              <w:t>本样本展示了一章关于依恋模式、情绪调节与学业功能的论文文本翻译。译文保留学术语体、概念精确性以及心理学术语的一致性。</w:t>
            </w:r>
          </w:p>
        </w:tc>
      </w:tr>
      <w:tr>
        <w:tc>
          <w:tcPr>
            <w:tcW w:type="dxa" w:w="2592"/>
            <w:shd w:fill="FFFFFF"/>
            <w:tcMar>
              <w:top w:w="90" w:type="dxa"/>
              <w:start w:w="80" w:type="dxa"/>
              <w:bottom w:w="90" w:type="dxa"/>
              <w:end w:w="80" w:type="dxa"/>
            </w:tcMar>
          </w:tcPr>
          <w:p>
            <w:pPr>
              <w:spacing w:after="0" w:before="0"/>
            </w:pPr>
            <w:r/>
            <w:r>
              <w:rPr>
                <w:rFonts w:ascii="Noto Sans CJK JP" w:hAnsi="Noto Sans CJK JP"/>
                <w:b/>
                <w:color w:val="132039"/>
                <w:sz w:val="15"/>
              </w:rPr>
              <w:t>日本語</w:t>
            </w:r>
          </w:p>
        </w:tc>
        <w:tc>
          <w:tcPr>
            <w:tcW w:type="dxa" w:w="2592"/>
            <w:shd w:fill="FFFFFF"/>
            <w:tcMar>
              <w:top w:w="90" w:type="dxa"/>
              <w:start w:w="80" w:type="dxa"/>
              <w:bottom w:w="90" w:type="dxa"/>
              <w:end w:w="80" w:type="dxa"/>
            </w:tcMar>
          </w:tcPr>
          <w:p>
            <w:pPr>
              <w:spacing w:after="0" w:before="0"/>
            </w:pPr>
            <w:r/>
            <w:r>
              <w:rPr>
                <w:rFonts w:ascii="Aptos" w:hAnsi="Aptos"/>
                <w:b/>
                <w:color w:val="D9B04C"/>
                <w:sz w:val="15"/>
              </w:rPr>
              <w:t>JA</w:t>
            </w:r>
          </w:p>
        </w:tc>
        <w:tc>
          <w:tcPr>
            <w:tcW w:type="dxa" w:w="2592"/>
            <w:shd w:fill="FFFFFF"/>
            <w:tcMar>
              <w:top w:w="90" w:type="dxa"/>
              <w:start w:w="80" w:type="dxa"/>
              <w:bottom w:w="90" w:type="dxa"/>
              <w:end w:w="80" w:type="dxa"/>
            </w:tcMar>
          </w:tcPr>
          <w:p>
            <w:pPr>
              <w:spacing w:after="0" w:before="0"/>
            </w:pPr>
            <w:r/>
            <w:r>
              <w:rPr>
                <w:rFonts w:ascii="Noto Sans CJK JP" w:hAnsi="Noto Sans CJK JP"/>
                <w:b w:val="0"/>
                <w:color w:val="1D1D1F"/>
                <w:sz w:val="14"/>
              </w:rPr>
              <w:t>成人期初期における愛着パターンと感情調整</w:t>
            </w:r>
          </w:p>
        </w:tc>
        <w:tc>
          <w:tcPr>
            <w:tcW w:type="dxa" w:w="2592"/>
            <w:shd w:fill="FFFFFF"/>
            <w:tcMar>
              <w:top w:w="90" w:type="dxa"/>
              <w:start w:w="80" w:type="dxa"/>
              <w:bottom w:w="90" w:type="dxa"/>
              <w:end w:w="80" w:type="dxa"/>
            </w:tcMar>
          </w:tcPr>
          <w:p>
            <w:pPr>
              <w:spacing w:after="0" w:before="0"/>
            </w:pPr>
            <w:r/>
            <w:r>
              <w:rPr>
                <w:rFonts w:ascii="Noto Sans CJK JP" w:hAnsi="Noto Sans CJK JP"/>
                <w:b w:val="0"/>
                <w:color w:val="1D1D1F"/>
                <w:sz w:val="14"/>
              </w:rPr>
              <w:t>このサンプルは、愛着パターン、感情調整、学業機能に関する学位論文の章を翻訳した例である。学術的な文体、概念の精度、心理学用語の一貫性を保持している。</w:t>
            </w:r>
          </w:p>
        </w:tc>
      </w:tr>
      <w:tr>
        <w:tc>
          <w:tcPr>
            <w:tcW w:type="dxa" w:w="2592"/>
            <w:shd w:fill="F5F7FA"/>
            <w:tcMar>
              <w:top w:w="90" w:type="dxa"/>
              <w:start w:w="80" w:type="dxa"/>
              <w:bottom w:w="90" w:type="dxa"/>
              <w:end w:w="80" w:type="dxa"/>
            </w:tcMar>
          </w:tcPr>
          <w:p>
            <w:pPr>
              <w:spacing w:after="0" w:before="0"/>
            </w:pPr>
            <w:r/>
            <w:r>
              <w:rPr>
                <w:rFonts w:ascii="Noto Sans Hebrew" w:hAnsi="Noto Sans Hebrew"/>
                <w:b/>
                <w:color w:val="132039"/>
                <w:sz w:val="15"/>
              </w:rPr>
              <w:t>עברית</w:t>
            </w:r>
          </w:p>
        </w:tc>
        <w:tc>
          <w:tcPr>
            <w:tcW w:type="dxa" w:w="2592"/>
            <w:shd w:fill="F5F7FA"/>
            <w:tcMar>
              <w:top w:w="90" w:type="dxa"/>
              <w:start w:w="80" w:type="dxa"/>
              <w:bottom w:w="90" w:type="dxa"/>
              <w:end w:w="80" w:type="dxa"/>
            </w:tcMar>
          </w:tcPr>
          <w:p>
            <w:pPr>
              <w:spacing w:after="0" w:before="0"/>
            </w:pPr>
            <w:r/>
            <w:r>
              <w:rPr>
                <w:rFonts w:ascii="Aptos" w:hAnsi="Aptos"/>
                <w:b/>
                <w:color w:val="132039"/>
                <w:sz w:val="15"/>
              </w:rPr>
              <w:t>HE</w:t>
            </w:r>
          </w:p>
        </w:tc>
        <w:tc>
          <w:tcPr>
            <w:tcW w:type="dxa" w:w="2592"/>
            <w:shd w:fill="F5F7FA"/>
            <w:tcMar>
              <w:top w:w="90" w:type="dxa"/>
              <w:start w:w="80" w:type="dxa"/>
              <w:bottom w:w="90" w:type="dxa"/>
              <w:end w:w="80" w:type="dxa"/>
            </w:tcMar>
          </w:tcPr>
          <w:p>
            <w:pPr>
              <w:spacing w:after="0" w:before="0"/>
              <w:jc w:val="right"/>
              <w:bidi/>
            </w:pPr>
            <w:r/>
            <w:r>
              <w:rPr>
                <w:rFonts w:ascii="Noto Sans Hebrew" w:hAnsi="Noto Sans Hebrew"/>
                <w:b w:val="0"/>
                <w:color w:val="1D1D1F"/>
                <w:sz w:val="14"/>
              </w:rPr>
              <w:t>דפוסי התקשרות וויסות רגשי בבגרות המתהווה</w:t>
            </w:r>
          </w:p>
        </w:tc>
        <w:tc>
          <w:tcPr>
            <w:tcW w:type="dxa" w:w="2592"/>
            <w:shd w:fill="F5F7FA"/>
            <w:tcMar>
              <w:top w:w="90" w:type="dxa"/>
              <w:start w:w="80" w:type="dxa"/>
              <w:bottom w:w="90" w:type="dxa"/>
              <w:end w:w="80" w:type="dxa"/>
            </w:tcMar>
          </w:tcPr>
          <w:p>
            <w:pPr>
              <w:spacing w:after="0" w:before="0"/>
              <w:jc w:val="right"/>
              <w:bidi/>
            </w:pPr>
            <w:r/>
            <w:r>
              <w:rPr>
                <w:rFonts w:ascii="Noto Sans Hebrew" w:hAnsi="Noto Sans Hebrew"/>
                <w:b w:val="0"/>
                <w:color w:val="1D1D1F"/>
                <w:sz w:val="14"/>
              </w:rPr>
              <w:t>דוגמה זו מציגה תרגום של פרק תזה העוסק בדפוסי התקשרות, ויסות רגשי ותפקוד אקדמי. התרגום שומר על רישום אקדמי, דיוק מושגי ועקביות במונחים פסיכולוגיים.</w:t>
            </w:r>
          </w:p>
        </w:tc>
      </w:tr>
      <w:tr>
        <w:tc>
          <w:tcPr>
            <w:tcW w:type="dxa" w:w="2592"/>
            <w:shd w:fill="FFFFFF"/>
            <w:tcMar>
              <w:top w:w="90" w:type="dxa"/>
              <w:start w:w="80" w:type="dxa"/>
              <w:bottom w:w="90" w:type="dxa"/>
              <w:end w:w="80" w:type="dxa"/>
            </w:tcMar>
          </w:tcPr>
          <w:p>
            <w:pPr>
              <w:spacing w:after="0" w:before="0"/>
            </w:pPr>
            <w:r/>
            <w:r>
              <w:rPr>
                <w:rFonts w:ascii="Amiri" w:hAnsi="Amiri"/>
                <w:b/>
                <w:color w:val="132039"/>
                <w:sz w:val="15"/>
              </w:rPr>
              <w:t>العربية</w:t>
            </w:r>
          </w:p>
        </w:tc>
        <w:tc>
          <w:tcPr>
            <w:tcW w:type="dxa" w:w="2592"/>
            <w:shd w:fill="FFFFFF"/>
            <w:tcMar>
              <w:top w:w="90" w:type="dxa"/>
              <w:start w:w="80" w:type="dxa"/>
              <w:bottom w:w="90" w:type="dxa"/>
              <w:end w:w="80" w:type="dxa"/>
            </w:tcMar>
          </w:tcPr>
          <w:p>
            <w:pPr>
              <w:spacing w:after="0" w:before="0"/>
            </w:pPr>
            <w:r/>
            <w:r>
              <w:rPr>
                <w:rFonts w:ascii="Aptos" w:hAnsi="Aptos"/>
                <w:b/>
                <w:color w:val="132039"/>
                <w:sz w:val="15"/>
              </w:rPr>
              <w:t>AR</w:t>
            </w:r>
          </w:p>
        </w:tc>
        <w:tc>
          <w:tcPr>
            <w:tcW w:type="dxa" w:w="2592"/>
            <w:shd w:fill="FFFFFF"/>
            <w:tcMar>
              <w:top w:w="90" w:type="dxa"/>
              <w:start w:w="80" w:type="dxa"/>
              <w:bottom w:w="90" w:type="dxa"/>
              <w:end w:w="80" w:type="dxa"/>
            </w:tcMar>
          </w:tcPr>
          <w:p>
            <w:pPr>
              <w:spacing w:after="0" w:before="0"/>
              <w:jc w:val="right"/>
              <w:bidi/>
            </w:pPr>
            <w:r/>
            <w:r>
              <w:rPr>
                <w:rFonts w:ascii="Amiri" w:hAnsi="Amiri"/>
                <w:b w:val="0"/>
                <w:color w:val="1D1D1F"/>
                <w:sz w:val="14"/>
              </w:rPr>
              <w:t>أنماط التعلق وتنظيم الانفعال في مرحلة الرشد الناشئ</w:t>
            </w:r>
          </w:p>
        </w:tc>
        <w:tc>
          <w:tcPr>
            <w:tcW w:type="dxa" w:w="2592"/>
            <w:shd w:fill="FFFFFF"/>
            <w:tcMar>
              <w:top w:w="90" w:type="dxa"/>
              <w:start w:w="80" w:type="dxa"/>
              <w:bottom w:w="90" w:type="dxa"/>
              <w:end w:w="80" w:type="dxa"/>
            </w:tcMar>
          </w:tcPr>
          <w:p>
            <w:pPr>
              <w:spacing w:after="0" w:before="0"/>
              <w:jc w:val="right"/>
              <w:bidi/>
            </w:pPr>
            <w:r/>
            <w:r>
              <w:rPr>
                <w:rFonts w:ascii="Amiri" w:hAnsi="Amiri"/>
                <w:b w:val="0"/>
                <w:color w:val="1D1D1F"/>
                <w:sz w:val="14"/>
              </w:rPr>
              <w:t>تعرض هذه العينة ترجمة فصل أطروحة حول أنماط التعلق وتنظيم الانفعال والأداء الأكاديمي. وتحافظ الترجمة على السجل الأكاديمي والدقة المفاهيمية واتساق المصطلحات النفسية.</w:t>
            </w:r>
          </w:p>
        </w:tc>
      </w:tr>
    </w:tbl>
    <w:p>
      <w:pPr>
        <w:widowControl/>
      </w:pPr>
      <w:r>
        <w:br w:type="page"/>
      </w:r>
    </w:p>
    <w:p>
      <w:pPr>
        <w:widowControl/>
        <w:spacing w:before="240" w:after="60"/>
      </w:pPr>
      <w:r>
        <w:rPr>
          <w:rFonts w:ascii="Georgia" w:hAnsi="Georgia"/>
          <w:b/>
          <w:color w:val="132039"/>
          <w:sz w:val="36"/>
        </w:rPr>
        <w:t>Terminology Notes - EN to ES</w:t>
      </w:r>
    </w:p>
    <w:p>
      <w:pPr>
        <w:widowControl/>
        <w:spacing w:after="200"/>
      </w:pPr>
      <w:r>
        <w:rPr>
          <w:rFonts w:ascii="Aptos" w:hAnsi="Aptos"/>
          <w:color w:val="5E6673"/>
          <w:sz w:val="20"/>
        </w:rPr>
        <w:t>Selected decisions that show translator judgment, not word-for-word substitution</w:t>
      </w:r>
    </w:p>
    <w:p>
      <w:pPr>
        <w:spacing w:after="240"/>
        <w:widowControl/>
        <w:pBdr>
          <w:bottom w:val="single" w:sz="12" w:space="1" w:color="D9B04C"/>
        </w:pBdr>
      </w:pPr>
      <w:r/>
    </w:p>
    <w:tbl>
      <w:tblPr>
        <w:tblW w:type="auto" w:w="0"/>
        <w:jc w:val="center"/>
        <w:tblLook w:firstColumn="1" w:firstRow="1" w:lastColumn="0" w:lastRow="0" w:noHBand="0" w:noVBand="1" w:val="04A0"/>
        <w:tblBorders>
          <w:top w:val="single" w:sz="6" w:space="0" w:color="C6CDD8"/>
          <w:left w:val="single" w:sz="6" w:space="0" w:color="C6CDD8"/>
          <w:bottom w:val="single" w:sz="6" w:space="0" w:color="C6CDD8"/>
          <w:right w:val="single" w:sz="6" w:space="0" w:color="C6CDD8"/>
          <w:insideH w:val="single" w:sz="6" w:space="0" w:color="C6CDD8"/>
          <w:insideV w:val="single" w:sz="6" w:space="0" w:color="C6CDD8"/>
        </w:tblBorders>
      </w:tblPr>
      <w:tblGrid>
        <w:gridCol w:w="3456"/>
        <w:gridCol w:w="3456"/>
        <w:gridCol w:w="3456"/>
      </w:tblGrid>
      <w:tr>
        <w:tc>
          <w:tcPr>
            <w:tcW w:type="dxa" w:w="3456"/>
            <w:shd w:fill="132039"/>
            <w:tcMar>
              <w:top w:w="100" w:type="dxa"/>
              <w:start w:w="100" w:type="dxa"/>
              <w:bottom w:w="100" w:type="dxa"/>
              <w:end w:w="100" w:type="dxa"/>
            </w:tcMar>
          </w:tcPr>
          <w:p>
            <w:pPr>
              <w:spacing w:after="0" w:before="0"/>
            </w:pPr>
            <w:r/>
            <w:r>
              <w:rPr>
                <w:rFonts w:ascii="Aptos" w:hAnsi="Aptos"/>
                <w:b/>
                <w:color w:val="FFFFFF"/>
                <w:sz w:val="17"/>
              </w:rPr>
              <w:t>Source term</w:t>
            </w:r>
          </w:p>
        </w:tc>
        <w:tc>
          <w:tcPr>
            <w:tcW w:type="dxa" w:w="3456"/>
            <w:shd w:fill="132039"/>
            <w:tcMar>
              <w:top w:w="100" w:type="dxa"/>
              <w:start w:w="100" w:type="dxa"/>
              <w:bottom w:w="100" w:type="dxa"/>
              <w:end w:w="100" w:type="dxa"/>
            </w:tcMar>
          </w:tcPr>
          <w:p>
            <w:pPr>
              <w:spacing w:after="0" w:before="0"/>
            </w:pPr>
            <w:r/>
            <w:r>
              <w:rPr>
                <w:rFonts w:ascii="Aptos" w:hAnsi="Aptos"/>
                <w:b/>
                <w:color w:val="FFFFFF"/>
                <w:sz w:val="17"/>
              </w:rPr>
              <w:t>Spanish choice</w:t>
            </w:r>
          </w:p>
        </w:tc>
        <w:tc>
          <w:tcPr>
            <w:tcW w:type="dxa" w:w="3456"/>
            <w:shd w:fill="132039"/>
            <w:tcMar>
              <w:top w:w="100" w:type="dxa"/>
              <w:start w:w="100" w:type="dxa"/>
              <w:bottom w:w="100" w:type="dxa"/>
              <w:end w:w="100" w:type="dxa"/>
            </w:tcMar>
          </w:tcPr>
          <w:p>
            <w:pPr>
              <w:spacing w:after="0" w:before="0"/>
            </w:pPr>
            <w:r/>
            <w:r>
              <w:rPr>
                <w:rFonts w:ascii="Aptos" w:hAnsi="Aptos"/>
                <w:b/>
                <w:color w:val="FFFFFF"/>
                <w:sz w:val="17"/>
              </w:rPr>
              <w:t>Rationale</w:t>
            </w:r>
          </w:p>
        </w:tc>
      </w:tr>
      <w:tr>
        <w:tc>
          <w:tcPr>
            <w:tcW w:type="dxa" w:w="3456"/>
            <w:shd w:fill="F5F7FA"/>
            <w:tcMar>
              <w:top w:w="90" w:type="dxa"/>
              <w:start w:w="100" w:type="dxa"/>
              <w:bottom w:w="90" w:type="dxa"/>
              <w:end w:w="100" w:type="dxa"/>
            </w:tcMar>
          </w:tcPr>
          <w:p>
            <w:pPr>
              <w:spacing w:after="0" w:before="0"/>
            </w:pPr>
            <w:r/>
            <w:r>
              <w:rPr>
                <w:rFonts w:ascii="Aptos" w:hAnsi="Aptos"/>
                <w:b/>
                <w:color w:val="132039"/>
                <w:sz w:val="16"/>
              </w:rPr>
              <w:t>Attachment pattern</w:t>
            </w:r>
          </w:p>
        </w:tc>
        <w:tc>
          <w:tcPr>
            <w:tcW w:type="dxa" w:w="3456"/>
            <w:shd w:fill="F5F7FA"/>
            <w:tcMar>
              <w:top w:w="90" w:type="dxa"/>
              <w:start w:w="100" w:type="dxa"/>
              <w:bottom w:w="90" w:type="dxa"/>
              <w:end w:w="100" w:type="dxa"/>
            </w:tcMar>
          </w:tcPr>
          <w:p>
            <w:pPr>
              <w:spacing w:after="0" w:before="0"/>
            </w:pPr>
            <w:r/>
            <w:r>
              <w:rPr>
                <w:rFonts w:ascii="Aptos" w:hAnsi="Aptos"/>
                <w:b w:val="0"/>
                <w:color w:val="1D1D1F"/>
                <w:sz w:val="16"/>
              </w:rPr>
              <w:t>Patrón de apego</w:t>
            </w:r>
          </w:p>
        </w:tc>
        <w:tc>
          <w:tcPr>
            <w:tcW w:type="dxa" w:w="3456"/>
            <w:shd w:fill="F5F7FA"/>
            <w:tcMar>
              <w:top w:w="90" w:type="dxa"/>
              <w:start w:w="100" w:type="dxa"/>
              <w:bottom w:w="90" w:type="dxa"/>
              <w:end w:w="100" w:type="dxa"/>
            </w:tcMar>
          </w:tcPr>
          <w:p>
            <w:pPr>
              <w:spacing w:after="0" w:before="0"/>
            </w:pPr>
            <w:r/>
            <w:r>
              <w:rPr>
                <w:rFonts w:ascii="Aptos" w:hAnsi="Aptos"/>
                <w:b w:val="0"/>
                <w:color w:val="1D1D1F"/>
                <w:sz w:val="15"/>
              </w:rPr>
              <w:t>Use “patrón”, not “estilo”, when emphasizing developmental organization.</w:t>
            </w:r>
          </w:p>
        </w:tc>
      </w:tr>
      <w:tr>
        <w:tc>
          <w:tcPr>
            <w:tcW w:type="dxa" w:w="3456"/>
            <w:shd w:fill="FFFFFF"/>
            <w:tcMar>
              <w:top w:w="90" w:type="dxa"/>
              <w:start w:w="100" w:type="dxa"/>
              <w:bottom w:w="90" w:type="dxa"/>
              <w:end w:w="100" w:type="dxa"/>
            </w:tcMar>
          </w:tcPr>
          <w:p>
            <w:pPr>
              <w:spacing w:after="0" w:before="0"/>
            </w:pPr>
            <w:r/>
            <w:r>
              <w:rPr>
                <w:rFonts w:ascii="Aptos" w:hAnsi="Aptos"/>
                <w:b/>
                <w:color w:val="132039"/>
                <w:sz w:val="16"/>
              </w:rPr>
              <w:t>Emotional regulation</w:t>
            </w:r>
          </w:p>
        </w:tc>
        <w:tc>
          <w:tcPr>
            <w:tcW w:type="dxa" w:w="3456"/>
            <w:shd w:fill="FFFFFF"/>
            <w:tcMar>
              <w:top w:w="90" w:type="dxa"/>
              <w:start w:w="100" w:type="dxa"/>
              <w:bottom w:w="90" w:type="dxa"/>
              <w:end w:w="100" w:type="dxa"/>
            </w:tcMar>
          </w:tcPr>
          <w:p>
            <w:pPr>
              <w:spacing w:after="0" w:before="0"/>
            </w:pPr>
            <w:r/>
            <w:r>
              <w:rPr>
                <w:rFonts w:ascii="Aptos" w:hAnsi="Aptos"/>
                <w:b w:val="0"/>
                <w:color w:val="1D1D1F"/>
                <w:sz w:val="16"/>
              </w:rPr>
              <w:t>Regulación emocional</w:t>
            </w:r>
          </w:p>
        </w:tc>
        <w:tc>
          <w:tcPr>
            <w:tcW w:type="dxa" w:w="3456"/>
            <w:shd w:fill="FFFFFF"/>
            <w:tcMar>
              <w:top w:w="90" w:type="dxa"/>
              <w:start w:w="100" w:type="dxa"/>
              <w:bottom w:w="90" w:type="dxa"/>
              <w:end w:w="100" w:type="dxa"/>
            </w:tcMar>
          </w:tcPr>
          <w:p>
            <w:pPr>
              <w:spacing w:after="0" w:before="0"/>
            </w:pPr>
            <w:r/>
            <w:r>
              <w:rPr>
                <w:rFonts w:ascii="Aptos" w:hAnsi="Aptos"/>
                <w:b w:val="0"/>
                <w:color w:val="1D1D1F"/>
                <w:sz w:val="15"/>
              </w:rPr>
              <w:t>Core construct; avoid “control emocional” unless context requires it.</w:t>
            </w:r>
          </w:p>
        </w:tc>
      </w:tr>
      <w:tr>
        <w:tc>
          <w:tcPr>
            <w:tcW w:type="dxa" w:w="3456"/>
            <w:shd w:fill="F5F7FA"/>
            <w:tcMar>
              <w:top w:w="90" w:type="dxa"/>
              <w:start w:w="100" w:type="dxa"/>
              <w:bottom w:w="90" w:type="dxa"/>
              <w:end w:w="100" w:type="dxa"/>
            </w:tcMar>
          </w:tcPr>
          <w:p>
            <w:pPr>
              <w:spacing w:after="0" w:before="0"/>
            </w:pPr>
            <w:r/>
            <w:r>
              <w:rPr>
                <w:rFonts w:ascii="Aptos" w:hAnsi="Aptos"/>
                <w:b/>
                <w:color w:val="132039"/>
                <w:sz w:val="16"/>
              </w:rPr>
              <w:t>Emerging adulthood</w:t>
            </w:r>
          </w:p>
        </w:tc>
        <w:tc>
          <w:tcPr>
            <w:tcW w:type="dxa" w:w="3456"/>
            <w:shd w:fill="F5F7FA"/>
            <w:tcMar>
              <w:top w:w="90" w:type="dxa"/>
              <w:start w:w="100" w:type="dxa"/>
              <w:bottom w:w="90" w:type="dxa"/>
              <w:end w:w="100" w:type="dxa"/>
            </w:tcMar>
          </w:tcPr>
          <w:p>
            <w:pPr>
              <w:spacing w:after="0" w:before="0"/>
            </w:pPr>
            <w:r/>
            <w:r>
              <w:rPr>
                <w:rFonts w:ascii="Aptos" w:hAnsi="Aptos"/>
                <w:b w:val="0"/>
                <w:color w:val="1D1D1F"/>
                <w:sz w:val="16"/>
              </w:rPr>
              <w:t>Adultez emergente</w:t>
            </w:r>
          </w:p>
        </w:tc>
        <w:tc>
          <w:tcPr>
            <w:tcW w:type="dxa" w:w="3456"/>
            <w:shd w:fill="F5F7FA"/>
            <w:tcMar>
              <w:top w:w="90" w:type="dxa"/>
              <w:start w:w="100" w:type="dxa"/>
              <w:bottom w:w="90" w:type="dxa"/>
              <w:end w:w="100" w:type="dxa"/>
            </w:tcMar>
          </w:tcPr>
          <w:p>
            <w:pPr>
              <w:spacing w:after="0" w:before="0"/>
            </w:pPr>
            <w:r/>
            <w:r>
              <w:rPr>
                <w:rFonts w:ascii="Aptos" w:hAnsi="Aptos"/>
                <w:b w:val="0"/>
                <w:color w:val="1D1D1F"/>
                <w:sz w:val="15"/>
              </w:rPr>
              <w:t>Developmental stage; more precise than “juventud”.</w:t>
            </w:r>
          </w:p>
        </w:tc>
      </w:tr>
      <w:tr>
        <w:tc>
          <w:tcPr>
            <w:tcW w:type="dxa" w:w="3456"/>
            <w:shd w:fill="FFFFFF"/>
            <w:tcMar>
              <w:top w:w="90" w:type="dxa"/>
              <w:start w:w="100" w:type="dxa"/>
              <w:bottom w:w="90" w:type="dxa"/>
              <w:end w:w="100" w:type="dxa"/>
            </w:tcMar>
          </w:tcPr>
          <w:p>
            <w:pPr>
              <w:spacing w:after="0" w:before="0"/>
            </w:pPr>
            <w:r/>
            <w:r>
              <w:rPr>
                <w:rFonts w:ascii="Aptos" w:hAnsi="Aptos"/>
                <w:b/>
                <w:color w:val="132039"/>
                <w:sz w:val="16"/>
              </w:rPr>
              <w:t>Hyperactivating strategies</w:t>
            </w:r>
          </w:p>
        </w:tc>
        <w:tc>
          <w:tcPr>
            <w:tcW w:type="dxa" w:w="3456"/>
            <w:shd w:fill="FFFFFF"/>
            <w:tcMar>
              <w:top w:w="90" w:type="dxa"/>
              <w:start w:w="100" w:type="dxa"/>
              <w:bottom w:w="90" w:type="dxa"/>
              <w:end w:w="100" w:type="dxa"/>
            </w:tcMar>
          </w:tcPr>
          <w:p>
            <w:pPr>
              <w:spacing w:after="0" w:before="0"/>
            </w:pPr>
            <w:r/>
            <w:r>
              <w:rPr>
                <w:rFonts w:ascii="Aptos" w:hAnsi="Aptos"/>
                <w:b w:val="0"/>
                <w:color w:val="1D1D1F"/>
                <w:sz w:val="16"/>
              </w:rPr>
              <w:t>Estrategias hiperactivadoras</w:t>
            </w:r>
          </w:p>
        </w:tc>
        <w:tc>
          <w:tcPr>
            <w:tcW w:type="dxa" w:w="3456"/>
            <w:shd w:fill="FFFFFF"/>
            <w:tcMar>
              <w:top w:w="90" w:type="dxa"/>
              <w:start w:w="100" w:type="dxa"/>
              <w:bottom w:w="90" w:type="dxa"/>
              <w:end w:w="100" w:type="dxa"/>
            </w:tcMar>
          </w:tcPr>
          <w:p>
            <w:pPr>
              <w:spacing w:after="0" w:before="0"/>
            </w:pPr>
            <w:r/>
            <w:r>
              <w:rPr>
                <w:rFonts w:ascii="Aptos" w:hAnsi="Aptos"/>
                <w:b w:val="0"/>
                <w:color w:val="1D1D1F"/>
                <w:sz w:val="15"/>
              </w:rPr>
              <w:t>Attachment-specific terminology.</w:t>
            </w:r>
          </w:p>
        </w:tc>
      </w:tr>
      <w:tr>
        <w:tc>
          <w:tcPr>
            <w:tcW w:type="dxa" w:w="3456"/>
            <w:shd w:fill="F5F7FA"/>
            <w:tcMar>
              <w:top w:w="90" w:type="dxa"/>
              <w:start w:w="100" w:type="dxa"/>
              <w:bottom w:w="90" w:type="dxa"/>
              <w:end w:w="100" w:type="dxa"/>
            </w:tcMar>
          </w:tcPr>
          <w:p>
            <w:pPr>
              <w:spacing w:after="0" w:before="0"/>
            </w:pPr>
            <w:r/>
            <w:r>
              <w:rPr>
                <w:rFonts w:ascii="Aptos" w:hAnsi="Aptos"/>
                <w:b/>
                <w:color w:val="132039"/>
                <w:sz w:val="16"/>
              </w:rPr>
              <w:t>Deactivating strategies</w:t>
            </w:r>
          </w:p>
        </w:tc>
        <w:tc>
          <w:tcPr>
            <w:tcW w:type="dxa" w:w="3456"/>
            <w:shd w:fill="F5F7FA"/>
            <w:tcMar>
              <w:top w:w="90" w:type="dxa"/>
              <w:start w:w="100" w:type="dxa"/>
              <w:bottom w:w="90" w:type="dxa"/>
              <w:end w:w="100" w:type="dxa"/>
            </w:tcMar>
          </w:tcPr>
          <w:p>
            <w:pPr>
              <w:spacing w:after="0" w:before="0"/>
            </w:pPr>
            <w:r/>
            <w:r>
              <w:rPr>
                <w:rFonts w:ascii="Aptos" w:hAnsi="Aptos"/>
                <w:b w:val="0"/>
                <w:color w:val="1D1D1F"/>
                <w:sz w:val="16"/>
              </w:rPr>
              <w:t>Estrategias desactivadoras</w:t>
            </w:r>
          </w:p>
        </w:tc>
        <w:tc>
          <w:tcPr>
            <w:tcW w:type="dxa" w:w="3456"/>
            <w:shd w:fill="F5F7FA"/>
            <w:tcMar>
              <w:top w:w="90" w:type="dxa"/>
              <w:start w:w="100" w:type="dxa"/>
              <w:bottom w:w="90" w:type="dxa"/>
              <w:end w:w="100" w:type="dxa"/>
            </w:tcMar>
          </w:tcPr>
          <w:p>
            <w:pPr>
              <w:spacing w:after="0" w:before="0"/>
            </w:pPr>
            <w:r/>
            <w:r>
              <w:rPr>
                <w:rFonts w:ascii="Aptos" w:hAnsi="Aptos"/>
                <w:b w:val="0"/>
                <w:color w:val="1D1D1F"/>
                <w:sz w:val="15"/>
              </w:rPr>
              <w:t>Preserve technical contrast with hyperactivating strategies.</w:t>
            </w:r>
          </w:p>
        </w:tc>
      </w:tr>
      <w:tr>
        <w:tc>
          <w:tcPr>
            <w:tcW w:type="dxa" w:w="3456"/>
            <w:shd w:fill="FFFFFF"/>
            <w:tcMar>
              <w:top w:w="90" w:type="dxa"/>
              <w:start w:w="100" w:type="dxa"/>
              <w:bottom w:w="90" w:type="dxa"/>
              <w:end w:w="100" w:type="dxa"/>
            </w:tcMar>
          </w:tcPr>
          <w:p>
            <w:pPr>
              <w:spacing w:after="0" w:before="0"/>
            </w:pPr>
            <w:r/>
            <w:r>
              <w:rPr>
                <w:rFonts w:ascii="Aptos" w:hAnsi="Aptos"/>
                <w:b/>
                <w:color w:val="132039"/>
                <w:sz w:val="16"/>
              </w:rPr>
              <w:t>Help-seeking</w:t>
            </w:r>
          </w:p>
        </w:tc>
        <w:tc>
          <w:tcPr>
            <w:tcW w:type="dxa" w:w="3456"/>
            <w:shd w:fill="FFFFFF"/>
            <w:tcMar>
              <w:top w:w="90" w:type="dxa"/>
              <w:start w:w="100" w:type="dxa"/>
              <w:bottom w:w="90" w:type="dxa"/>
              <w:end w:w="100" w:type="dxa"/>
            </w:tcMar>
          </w:tcPr>
          <w:p>
            <w:pPr>
              <w:spacing w:after="0" w:before="0"/>
            </w:pPr>
            <w:r/>
            <w:r>
              <w:rPr>
                <w:rFonts w:ascii="Aptos" w:hAnsi="Aptos"/>
                <w:b w:val="0"/>
                <w:color w:val="1D1D1F"/>
                <w:sz w:val="16"/>
              </w:rPr>
              <w:t>Búsqueda de ayuda</w:t>
            </w:r>
          </w:p>
        </w:tc>
        <w:tc>
          <w:tcPr>
            <w:tcW w:type="dxa" w:w="3456"/>
            <w:shd w:fill="FFFFFF"/>
            <w:tcMar>
              <w:top w:w="90" w:type="dxa"/>
              <w:start w:w="100" w:type="dxa"/>
              <w:bottom w:w="90" w:type="dxa"/>
              <w:end w:w="100" w:type="dxa"/>
            </w:tcMar>
          </w:tcPr>
          <w:p>
            <w:pPr>
              <w:spacing w:after="0" w:before="0"/>
            </w:pPr>
            <w:r/>
            <w:r>
              <w:rPr>
                <w:rFonts w:ascii="Aptos" w:hAnsi="Aptos"/>
                <w:b w:val="0"/>
                <w:color w:val="1D1D1F"/>
                <w:sz w:val="15"/>
              </w:rPr>
              <w:t>Academic and clinical term; not merely “pedir ayuda”.</w:t>
            </w:r>
          </w:p>
        </w:tc>
      </w:tr>
      <w:tr>
        <w:tc>
          <w:tcPr>
            <w:tcW w:type="dxa" w:w="3456"/>
            <w:shd w:fill="F5F7FA"/>
            <w:tcMar>
              <w:top w:w="90" w:type="dxa"/>
              <w:start w:w="100" w:type="dxa"/>
              <w:bottom w:w="90" w:type="dxa"/>
              <w:end w:w="100" w:type="dxa"/>
            </w:tcMar>
          </w:tcPr>
          <w:p>
            <w:pPr>
              <w:spacing w:after="0" w:before="0"/>
            </w:pPr>
            <w:r/>
            <w:r>
              <w:rPr>
                <w:rFonts w:ascii="Aptos" w:hAnsi="Aptos"/>
                <w:b/>
                <w:color w:val="132039"/>
                <w:sz w:val="16"/>
              </w:rPr>
              <w:t>Self-reliance</w:t>
            </w:r>
          </w:p>
        </w:tc>
        <w:tc>
          <w:tcPr>
            <w:tcW w:type="dxa" w:w="3456"/>
            <w:shd w:fill="F5F7FA"/>
            <w:tcMar>
              <w:top w:w="90" w:type="dxa"/>
              <w:start w:w="100" w:type="dxa"/>
              <w:bottom w:w="90" w:type="dxa"/>
              <w:end w:w="100" w:type="dxa"/>
            </w:tcMar>
          </w:tcPr>
          <w:p>
            <w:pPr>
              <w:spacing w:after="0" w:before="0"/>
            </w:pPr>
            <w:r/>
            <w:r>
              <w:rPr>
                <w:rFonts w:ascii="Aptos" w:hAnsi="Aptos"/>
                <w:b w:val="0"/>
                <w:color w:val="1D1D1F"/>
                <w:sz w:val="16"/>
              </w:rPr>
              <w:t>Autosuficiencia</w:t>
            </w:r>
          </w:p>
        </w:tc>
        <w:tc>
          <w:tcPr>
            <w:tcW w:type="dxa" w:w="3456"/>
            <w:shd w:fill="F5F7FA"/>
            <w:tcMar>
              <w:top w:w="90" w:type="dxa"/>
              <w:start w:w="100" w:type="dxa"/>
              <w:bottom w:w="90" w:type="dxa"/>
              <w:end w:w="100" w:type="dxa"/>
            </w:tcMar>
          </w:tcPr>
          <w:p>
            <w:pPr>
              <w:spacing w:after="0" w:before="0"/>
            </w:pPr>
            <w:r/>
            <w:r>
              <w:rPr>
                <w:rFonts w:ascii="Aptos" w:hAnsi="Aptos"/>
                <w:b w:val="0"/>
                <w:color w:val="1D1D1F"/>
                <w:sz w:val="15"/>
              </w:rPr>
              <w:t>Must be distinguished from autonomy.</w:t>
            </w:r>
          </w:p>
        </w:tc>
      </w:tr>
      <w:tr>
        <w:tc>
          <w:tcPr>
            <w:tcW w:type="dxa" w:w="3456"/>
            <w:shd w:fill="FFFFFF"/>
            <w:tcMar>
              <w:top w:w="90" w:type="dxa"/>
              <w:start w:w="100" w:type="dxa"/>
              <w:bottom w:w="90" w:type="dxa"/>
              <w:end w:w="100" w:type="dxa"/>
            </w:tcMar>
          </w:tcPr>
          <w:p>
            <w:pPr>
              <w:spacing w:after="0" w:before="0"/>
            </w:pPr>
            <w:r/>
            <w:r>
              <w:rPr>
                <w:rFonts w:ascii="Aptos" w:hAnsi="Aptos"/>
                <w:b/>
                <w:color w:val="132039"/>
                <w:sz w:val="16"/>
              </w:rPr>
              <w:t>Reassurance seeking</w:t>
            </w:r>
          </w:p>
        </w:tc>
        <w:tc>
          <w:tcPr>
            <w:tcW w:type="dxa" w:w="3456"/>
            <w:shd w:fill="FFFFFF"/>
            <w:tcMar>
              <w:top w:w="90" w:type="dxa"/>
              <w:start w:w="100" w:type="dxa"/>
              <w:bottom w:w="90" w:type="dxa"/>
              <w:end w:w="100" w:type="dxa"/>
            </w:tcMar>
          </w:tcPr>
          <w:p>
            <w:pPr>
              <w:spacing w:after="0" w:before="0"/>
            </w:pPr>
            <w:r/>
            <w:r>
              <w:rPr>
                <w:rFonts w:ascii="Aptos" w:hAnsi="Aptos"/>
                <w:b w:val="0"/>
                <w:color w:val="1D1D1F"/>
                <w:sz w:val="16"/>
              </w:rPr>
              <w:t>Búsqueda de reaseguramiento</w:t>
            </w:r>
          </w:p>
        </w:tc>
        <w:tc>
          <w:tcPr>
            <w:tcW w:type="dxa" w:w="3456"/>
            <w:shd w:fill="FFFFFF"/>
            <w:tcMar>
              <w:top w:w="90" w:type="dxa"/>
              <w:start w:w="100" w:type="dxa"/>
              <w:bottom w:w="90" w:type="dxa"/>
              <w:end w:w="100" w:type="dxa"/>
            </w:tcMar>
          </w:tcPr>
          <w:p>
            <w:pPr>
              <w:spacing w:after="0" w:before="0"/>
            </w:pPr>
            <w:r/>
            <w:r>
              <w:rPr>
                <w:rFonts w:ascii="Aptos" w:hAnsi="Aptos"/>
                <w:b w:val="0"/>
                <w:color w:val="1D1D1F"/>
                <w:sz w:val="15"/>
              </w:rPr>
              <w:t>Clinical nuance; not simply “tranquilidad”.</w:t>
            </w:r>
          </w:p>
        </w:tc>
      </w:tr>
      <w:tr>
        <w:tc>
          <w:tcPr>
            <w:tcW w:type="dxa" w:w="3456"/>
            <w:shd w:fill="F5F7FA"/>
            <w:tcMar>
              <w:top w:w="90" w:type="dxa"/>
              <w:start w:w="100" w:type="dxa"/>
              <w:bottom w:w="90" w:type="dxa"/>
              <w:end w:w="100" w:type="dxa"/>
            </w:tcMar>
          </w:tcPr>
          <w:p>
            <w:pPr>
              <w:spacing w:after="0" w:before="0"/>
            </w:pPr>
            <w:r/>
            <w:r>
              <w:rPr>
                <w:rFonts w:ascii="Aptos" w:hAnsi="Aptos"/>
                <w:b/>
                <w:color w:val="132039"/>
                <w:sz w:val="16"/>
              </w:rPr>
              <w:t>Academic functioning</w:t>
            </w:r>
          </w:p>
        </w:tc>
        <w:tc>
          <w:tcPr>
            <w:tcW w:type="dxa" w:w="3456"/>
            <w:shd w:fill="F5F7FA"/>
            <w:tcMar>
              <w:top w:w="90" w:type="dxa"/>
              <w:start w:w="100" w:type="dxa"/>
              <w:bottom w:w="90" w:type="dxa"/>
              <w:end w:w="100" w:type="dxa"/>
            </w:tcMar>
          </w:tcPr>
          <w:p>
            <w:pPr>
              <w:spacing w:after="0" w:before="0"/>
            </w:pPr>
            <w:r/>
            <w:r>
              <w:rPr>
                <w:rFonts w:ascii="Aptos" w:hAnsi="Aptos"/>
                <w:b w:val="0"/>
                <w:color w:val="1D1D1F"/>
                <w:sz w:val="16"/>
              </w:rPr>
              <w:t>Funcionamiento académico</w:t>
            </w:r>
          </w:p>
        </w:tc>
        <w:tc>
          <w:tcPr>
            <w:tcW w:type="dxa" w:w="3456"/>
            <w:shd w:fill="F5F7FA"/>
            <w:tcMar>
              <w:top w:w="90" w:type="dxa"/>
              <w:start w:w="100" w:type="dxa"/>
              <w:bottom w:w="90" w:type="dxa"/>
              <w:end w:w="100" w:type="dxa"/>
            </w:tcMar>
          </w:tcPr>
          <w:p>
            <w:pPr>
              <w:spacing w:after="0" w:before="0"/>
            </w:pPr>
            <w:r/>
            <w:r>
              <w:rPr>
                <w:rFonts w:ascii="Aptos" w:hAnsi="Aptos"/>
                <w:b w:val="0"/>
                <w:color w:val="1D1D1F"/>
                <w:sz w:val="15"/>
              </w:rPr>
              <w:t>Broader than performance alone.</w:t>
            </w:r>
          </w:p>
        </w:tc>
      </w:tr>
    </w:tbl>
    <w:p>
      <w:pPr>
        <w:widowControl/>
        <w:spacing w:before="240" w:after="60"/>
      </w:pPr>
      <w:r>
        <w:rPr>
          <w:rFonts w:ascii="Georgia" w:hAnsi="Georgia"/>
          <w:b/>
          <w:color w:val="132039"/>
          <w:sz w:val="36"/>
        </w:rPr>
        <w:t>Quality Control Report</w:t>
      </w:r>
    </w:p>
    <w:p>
      <w:pPr>
        <w:widowControl/>
        <w:spacing w:after="200"/>
      </w:pPr>
      <w:r>
        <w:rPr>
          <w:rFonts w:ascii="Aptos" w:hAnsi="Aptos"/>
          <w:color w:val="5E6673"/>
          <w:sz w:val="20"/>
        </w:rPr>
        <w:t>Translation delivery checklist</w:t>
      </w:r>
    </w:p>
    <w:p>
      <w:pPr>
        <w:spacing w:after="240"/>
        <w:widowControl/>
        <w:pBdr>
          <w:bottom w:val="single" w:sz="12" w:space="1" w:color="D9B04C"/>
        </w:pBdr>
      </w:pPr>
      <w:r/>
    </w:p>
    <w:tbl>
      <w:tblPr>
        <w:tblW w:type="auto" w:w="0"/>
        <w:jc w:val="center"/>
        <w:tblLook w:firstColumn="1" w:firstRow="1" w:lastColumn="0" w:lastRow="0" w:noHBand="0" w:noVBand="1" w:val="04A0"/>
        <w:tblBorders>
          <w:top w:val="single" w:sz="6" w:space="0" w:color="C6CDD8"/>
          <w:left w:val="single" w:sz="6" w:space="0" w:color="C6CDD8"/>
          <w:bottom w:val="single" w:sz="6" w:space="0" w:color="C6CDD8"/>
          <w:right w:val="single" w:sz="6" w:space="0" w:color="C6CDD8"/>
          <w:insideH w:val="single" w:sz="6" w:space="0" w:color="C6CDD8"/>
          <w:insideV w:val="single" w:sz="6" w:space="0" w:color="C6CDD8"/>
        </w:tblBorders>
      </w:tblPr>
      <w:tblGrid>
        <w:gridCol w:w="3456"/>
        <w:gridCol w:w="3456"/>
        <w:gridCol w:w="3456"/>
      </w:tblGrid>
      <w:tr>
        <w:tc>
          <w:tcPr>
            <w:tcW w:type="dxa" w:w="3456"/>
            <w:shd w:fill="132039"/>
            <w:tcMar>
              <w:top w:w="100" w:type="dxa"/>
              <w:start w:w="100" w:type="dxa"/>
              <w:bottom w:w="100" w:type="dxa"/>
              <w:end w:w="100" w:type="dxa"/>
            </w:tcMar>
          </w:tcPr>
          <w:p>
            <w:pPr>
              <w:spacing w:after="0" w:before="0"/>
            </w:pPr>
            <w:r/>
            <w:r>
              <w:rPr>
                <w:rFonts w:ascii="Aptos" w:hAnsi="Aptos"/>
                <w:b/>
                <w:color w:val="FFFFFF"/>
                <w:sz w:val="17"/>
              </w:rPr>
              <w:t>Check</w:t>
            </w:r>
          </w:p>
        </w:tc>
        <w:tc>
          <w:tcPr>
            <w:tcW w:type="dxa" w:w="3456"/>
            <w:shd w:fill="132039"/>
            <w:tcMar>
              <w:top w:w="100" w:type="dxa"/>
              <w:start w:w="100" w:type="dxa"/>
              <w:bottom w:w="100" w:type="dxa"/>
              <w:end w:w="100" w:type="dxa"/>
            </w:tcMar>
          </w:tcPr>
          <w:p>
            <w:pPr>
              <w:spacing w:after="0" w:before="0"/>
            </w:pPr>
            <w:r/>
            <w:r>
              <w:rPr>
                <w:rFonts w:ascii="Aptos" w:hAnsi="Aptos"/>
                <w:b/>
                <w:color w:val="FFFFFF"/>
                <w:sz w:val="17"/>
              </w:rPr>
              <w:t>Status</w:t>
            </w:r>
          </w:p>
        </w:tc>
        <w:tc>
          <w:tcPr>
            <w:tcW w:type="dxa" w:w="3456"/>
            <w:shd w:fill="132039"/>
            <w:tcMar>
              <w:top w:w="100" w:type="dxa"/>
              <w:start w:w="100" w:type="dxa"/>
              <w:bottom w:w="100" w:type="dxa"/>
              <w:end w:w="100" w:type="dxa"/>
            </w:tcMar>
          </w:tcPr>
          <w:p>
            <w:pPr>
              <w:spacing w:after="0" w:before="0"/>
            </w:pPr>
            <w:r/>
            <w:r>
              <w:rPr>
                <w:rFonts w:ascii="Aptos" w:hAnsi="Aptos"/>
                <w:b/>
                <w:color w:val="FFFFFF"/>
                <w:sz w:val="17"/>
              </w:rPr>
              <w:t>Notes</w:t>
            </w:r>
          </w:p>
        </w:tc>
      </w:tr>
      <w:tr>
        <w:tc>
          <w:tcPr>
            <w:tcW w:type="dxa" w:w="3456"/>
            <w:shd w:fill="F5F7FA"/>
            <w:tcMar>
              <w:top w:w="90" w:type="dxa"/>
              <w:start w:w="100" w:type="dxa"/>
              <w:bottom w:w="90" w:type="dxa"/>
              <w:end w:w="100" w:type="dxa"/>
            </w:tcMar>
          </w:tcPr>
          <w:p>
            <w:pPr>
              <w:spacing w:after="0" w:before="0"/>
            </w:pPr>
            <w:r/>
            <w:r>
              <w:rPr>
                <w:rFonts w:ascii="Aptos" w:hAnsi="Aptos"/>
                <w:b/>
                <w:color w:val="132039"/>
                <w:sz w:val="16"/>
              </w:rPr>
              <w:t>Full target translation</w:t>
            </w:r>
          </w:p>
        </w:tc>
        <w:tc>
          <w:tcPr>
            <w:tcW w:type="dxa" w:w="3456"/>
            <w:shd w:fill="F5F7FA"/>
            <w:tcMar>
              <w:top w:w="90" w:type="dxa"/>
              <w:start w:w="100" w:type="dxa"/>
              <w:bottom w:w="90" w:type="dxa"/>
              <w:end w:w="100" w:type="dxa"/>
            </w:tcMar>
          </w:tcPr>
          <w:p>
            <w:pPr>
              <w:spacing w:after="0" w:before="0"/>
            </w:pPr>
            <w:r/>
            <w:r>
              <w:rPr>
                <w:rFonts w:ascii="Aptos" w:hAnsi="Aptos"/>
                <w:b/>
                <w:color w:val="D9B04C"/>
                <w:sz w:val="16"/>
              </w:rPr>
              <w:t>PASS</w:t>
            </w:r>
          </w:p>
        </w:tc>
        <w:tc>
          <w:tcPr>
            <w:tcW w:type="dxa" w:w="3456"/>
            <w:shd w:fill="F5F7FA"/>
            <w:tcMar>
              <w:top w:w="90" w:type="dxa"/>
              <w:start w:w="100" w:type="dxa"/>
              <w:bottom w:w="90" w:type="dxa"/>
              <w:end w:w="100" w:type="dxa"/>
            </w:tcMar>
          </w:tcPr>
          <w:p>
            <w:pPr>
              <w:spacing w:after="0" w:before="0"/>
            </w:pPr>
            <w:r/>
            <w:r>
              <w:rPr>
                <w:rFonts w:ascii="Aptos" w:hAnsi="Aptos"/>
                <w:b w:val="0"/>
                <w:color w:val="1D1D1F"/>
                <w:sz w:val="15"/>
              </w:rPr>
              <w:t>Spanish version translates the full long-form source text.</w:t>
            </w:r>
          </w:p>
        </w:tc>
      </w:tr>
      <w:tr>
        <w:tc>
          <w:tcPr>
            <w:tcW w:type="dxa" w:w="3456"/>
            <w:shd w:fill="FFFFFF"/>
            <w:tcMar>
              <w:top w:w="90" w:type="dxa"/>
              <w:start w:w="100" w:type="dxa"/>
              <w:bottom w:w="90" w:type="dxa"/>
              <w:end w:w="100" w:type="dxa"/>
            </w:tcMar>
          </w:tcPr>
          <w:p>
            <w:pPr>
              <w:spacing w:after="0" w:before="0"/>
            </w:pPr>
            <w:r/>
            <w:r>
              <w:rPr>
                <w:rFonts w:ascii="Aptos" w:hAnsi="Aptos"/>
                <w:b/>
                <w:color w:val="132039"/>
                <w:sz w:val="16"/>
              </w:rPr>
              <w:t>Paragraph alignment</w:t>
            </w:r>
          </w:p>
        </w:tc>
        <w:tc>
          <w:tcPr>
            <w:tcW w:type="dxa" w:w="3456"/>
            <w:shd w:fill="FFFFFF"/>
            <w:tcMar>
              <w:top w:w="90" w:type="dxa"/>
              <w:start w:w="100" w:type="dxa"/>
              <w:bottom w:w="90" w:type="dxa"/>
              <w:end w:w="100" w:type="dxa"/>
            </w:tcMar>
          </w:tcPr>
          <w:p>
            <w:pPr>
              <w:spacing w:after="0" w:before="0"/>
            </w:pPr>
            <w:r/>
            <w:r>
              <w:rPr>
                <w:rFonts w:ascii="Aptos" w:hAnsi="Aptos"/>
                <w:b/>
                <w:color w:val="D9B04C"/>
                <w:sz w:val="16"/>
              </w:rPr>
              <w:t>PASS</w:t>
            </w:r>
          </w:p>
        </w:tc>
        <w:tc>
          <w:tcPr>
            <w:tcW w:type="dxa" w:w="3456"/>
            <w:shd w:fill="FFFFFF"/>
            <w:tcMar>
              <w:top w:w="90" w:type="dxa"/>
              <w:start w:w="100" w:type="dxa"/>
              <w:bottom w:w="90" w:type="dxa"/>
              <w:end w:w="100" w:type="dxa"/>
            </w:tcMar>
          </w:tcPr>
          <w:p>
            <w:pPr>
              <w:spacing w:after="0" w:before="0"/>
            </w:pPr>
            <w:r/>
            <w:r>
              <w:rPr>
                <w:rFonts w:ascii="Aptos" w:hAnsi="Aptos"/>
                <w:b w:val="0"/>
                <w:color w:val="1D1D1F"/>
                <w:sz w:val="15"/>
              </w:rPr>
              <w:t>Bilingual table aligns source and target paragraphs for review.</w:t>
            </w:r>
          </w:p>
        </w:tc>
      </w:tr>
      <w:tr>
        <w:tc>
          <w:tcPr>
            <w:tcW w:type="dxa" w:w="3456"/>
            <w:shd w:fill="F5F7FA"/>
            <w:tcMar>
              <w:top w:w="90" w:type="dxa"/>
              <w:start w:w="100" w:type="dxa"/>
              <w:bottom w:w="90" w:type="dxa"/>
              <w:end w:w="100" w:type="dxa"/>
            </w:tcMar>
          </w:tcPr>
          <w:p>
            <w:pPr>
              <w:spacing w:after="0" w:before="0"/>
            </w:pPr>
            <w:r/>
            <w:r>
              <w:rPr>
                <w:rFonts w:ascii="Aptos" w:hAnsi="Aptos"/>
                <w:b/>
                <w:color w:val="132039"/>
                <w:sz w:val="16"/>
              </w:rPr>
              <w:t>Terminology consistency</w:t>
            </w:r>
          </w:p>
        </w:tc>
        <w:tc>
          <w:tcPr>
            <w:tcW w:type="dxa" w:w="3456"/>
            <w:shd w:fill="F5F7FA"/>
            <w:tcMar>
              <w:top w:w="90" w:type="dxa"/>
              <w:start w:w="100" w:type="dxa"/>
              <w:bottom w:w="90" w:type="dxa"/>
              <w:end w:w="100" w:type="dxa"/>
            </w:tcMar>
          </w:tcPr>
          <w:p>
            <w:pPr>
              <w:spacing w:after="0" w:before="0"/>
            </w:pPr>
            <w:r/>
            <w:r>
              <w:rPr>
                <w:rFonts w:ascii="Aptos" w:hAnsi="Aptos"/>
                <w:b/>
                <w:color w:val="D9B04C"/>
                <w:sz w:val="16"/>
              </w:rPr>
              <w:t>PASS</w:t>
            </w:r>
          </w:p>
        </w:tc>
        <w:tc>
          <w:tcPr>
            <w:tcW w:type="dxa" w:w="3456"/>
            <w:shd w:fill="F5F7FA"/>
            <w:tcMar>
              <w:top w:w="90" w:type="dxa"/>
              <w:start w:w="100" w:type="dxa"/>
              <w:bottom w:w="90" w:type="dxa"/>
              <w:end w:w="100" w:type="dxa"/>
            </w:tcMar>
          </w:tcPr>
          <w:p>
            <w:pPr>
              <w:spacing w:after="0" w:before="0"/>
            </w:pPr>
            <w:r/>
            <w:r>
              <w:rPr>
                <w:rFonts w:ascii="Aptos" w:hAnsi="Aptos"/>
                <w:b w:val="0"/>
                <w:color w:val="1D1D1F"/>
                <w:sz w:val="15"/>
              </w:rPr>
              <w:t>Core constructs are harmonized across the document.</w:t>
            </w:r>
          </w:p>
        </w:tc>
      </w:tr>
      <w:tr>
        <w:tc>
          <w:tcPr>
            <w:tcW w:type="dxa" w:w="3456"/>
            <w:shd w:fill="FFFFFF"/>
            <w:tcMar>
              <w:top w:w="90" w:type="dxa"/>
              <w:start w:w="100" w:type="dxa"/>
              <w:bottom w:w="90" w:type="dxa"/>
              <w:end w:w="100" w:type="dxa"/>
            </w:tcMar>
          </w:tcPr>
          <w:p>
            <w:pPr>
              <w:spacing w:after="0" w:before="0"/>
            </w:pPr>
            <w:r/>
            <w:r>
              <w:rPr>
                <w:rFonts w:ascii="Aptos" w:hAnsi="Aptos"/>
                <w:b/>
                <w:color w:val="132039"/>
                <w:sz w:val="16"/>
              </w:rPr>
              <w:t>Academic register</w:t>
            </w:r>
          </w:p>
        </w:tc>
        <w:tc>
          <w:tcPr>
            <w:tcW w:type="dxa" w:w="3456"/>
            <w:shd w:fill="FFFFFF"/>
            <w:tcMar>
              <w:top w:w="90" w:type="dxa"/>
              <w:start w:w="100" w:type="dxa"/>
              <w:bottom w:w="90" w:type="dxa"/>
              <w:end w:w="100" w:type="dxa"/>
            </w:tcMar>
          </w:tcPr>
          <w:p>
            <w:pPr>
              <w:spacing w:after="0" w:before="0"/>
            </w:pPr>
            <w:r/>
            <w:r>
              <w:rPr>
                <w:rFonts w:ascii="Aptos" w:hAnsi="Aptos"/>
                <w:b/>
                <w:color w:val="D9B04C"/>
                <w:sz w:val="16"/>
              </w:rPr>
              <w:t>PASS</w:t>
            </w:r>
          </w:p>
        </w:tc>
        <w:tc>
          <w:tcPr>
            <w:tcW w:type="dxa" w:w="3456"/>
            <w:shd w:fill="FFFFFF"/>
            <w:tcMar>
              <w:top w:w="90" w:type="dxa"/>
              <w:start w:w="100" w:type="dxa"/>
              <w:bottom w:w="90" w:type="dxa"/>
              <w:end w:w="100" w:type="dxa"/>
            </w:tcMar>
          </w:tcPr>
          <w:p>
            <w:pPr>
              <w:spacing w:after="0" w:before="0"/>
            </w:pPr>
            <w:r/>
            <w:r>
              <w:rPr>
                <w:rFonts w:ascii="Aptos" w:hAnsi="Aptos"/>
                <w:b w:val="0"/>
                <w:color w:val="1D1D1F"/>
                <w:sz w:val="15"/>
              </w:rPr>
              <w:t>Formal thesis style is preserved without excessive literalism.</w:t>
            </w:r>
          </w:p>
        </w:tc>
      </w:tr>
      <w:tr>
        <w:tc>
          <w:tcPr>
            <w:tcW w:type="dxa" w:w="3456"/>
            <w:shd w:fill="F5F7FA"/>
            <w:tcMar>
              <w:top w:w="90" w:type="dxa"/>
              <w:start w:w="100" w:type="dxa"/>
              <w:bottom w:w="90" w:type="dxa"/>
              <w:end w:w="100" w:type="dxa"/>
            </w:tcMar>
          </w:tcPr>
          <w:p>
            <w:pPr>
              <w:spacing w:after="0" w:before="0"/>
            </w:pPr>
            <w:r/>
            <w:r>
              <w:rPr>
                <w:rFonts w:ascii="Aptos" w:hAnsi="Aptos"/>
                <w:b/>
                <w:color w:val="132039"/>
                <w:sz w:val="16"/>
              </w:rPr>
              <w:t>Layout integrity</w:t>
            </w:r>
          </w:p>
        </w:tc>
        <w:tc>
          <w:tcPr>
            <w:tcW w:type="dxa" w:w="3456"/>
            <w:shd w:fill="F5F7FA"/>
            <w:tcMar>
              <w:top w:w="90" w:type="dxa"/>
              <w:start w:w="100" w:type="dxa"/>
              <w:bottom w:w="90" w:type="dxa"/>
              <w:end w:w="100" w:type="dxa"/>
            </w:tcMar>
          </w:tcPr>
          <w:p>
            <w:pPr>
              <w:spacing w:after="0" w:before="0"/>
            </w:pPr>
            <w:r/>
            <w:r>
              <w:rPr>
                <w:rFonts w:ascii="Aptos" w:hAnsi="Aptos"/>
                <w:b/>
                <w:color w:val="D9B04C"/>
                <w:sz w:val="16"/>
              </w:rPr>
              <w:t>PASS</w:t>
            </w:r>
          </w:p>
        </w:tc>
        <w:tc>
          <w:tcPr>
            <w:tcW w:type="dxa" w:w="3456"/>
            <w:shd w:fill="F5F7FA"/>
            <w:tcMar>
              <w:top w:w="90" w:type="dxa"/>
              <w:start w:w="100" w:type="dxa"/>
              <w:bottom w:w="90" w:type="dxa"/>
              <w:end w:w="100" w:type="dxa"/>
            </w:tcMar>
          </w:tcPr>
          <w:p>
            <w:pPr>
              <w:spacing w:after="0" w:before="0"/>
            </w:pPr>
            <w:r/>
            <w:r>
              <w:rPr>
                <w:rFonts w:ascii="Aptos" w:hAnsi="Aptos"/>
                <w:b w:val="0"/>
                <w:color w:val="1D1D1F"/>
                <w:sz w:val="15"/>
              </w:rPr>
              <w:t>Portrait and landscape sections are used according to readability needs.</w:t>
            </w:r>
          </w:p>
        </w:tc>
      </w:tr>
      <w:tr>
        <w:tc>
          <w:tcPr>
            <w:tcW w:type="dxa" w:w="3456"/>
            <w:shd w:fill="FFFFFF"/>
            <w:tcMar>
              <w:top w:w="90" w:type="dxa"/>
              <w:start w:w="100" w:type="dxa"/>
              <w:bottom w:w="90" w:type="dxa"/>
              <w:end w:w="100" w:type="dxa"/>
            </w:tcMar>
          </w:tcPr>
          <w:p>
            <w:pPr>
              <w:spacing w:after="0" w:before="0"/>
            </w:pPr>
            <w:r/>
            <w:r>
              <w:rPr>
                <w:rFonts w:ascii="Aptos" w:hAnsi="Aptos"/>
                <w:b/>
                <w:color w:val="132039"/>
                <w:sz w:val="16"/>
              </w:rPr>
              <w:t>Multiscript rendering</w:t>
            </w:r>
          </w:p>
        </w:tc>
        <w:tc>
          <w:tcPr>
            <w:tcW w:type="dxa" w:w="3456"/>
            <w:shd w:fill="FFFFFF"/>
            <w:tcMar>
              <w:top w:w="90" w:type="dxa"/>
              <w:start w:w="100" w:type="dxa"/>
              <w:bottom w:w="90" w:type="dxa"/>
              <w:end w:w="100" w:type="dxa"/>
            </w:tcMar>
          </w:tcPr>
          <w:p>
            <w:pPr>
              <w:spacing w:after="0" w:before="0"/>
            </w:pPr>
            <w:r/>
            <w:r>
              <w:rPr>
                <w:rFonts w:ascii="Aptos" w:hAnsi="Aptos"/>
                <w:b/>
                <w:color w:val="D9B04C"/>
                <w:sz w:val="16"/>
              </w:rPr>
              <w:t>PASS</w:t>
            </w:r>
          </w:p>
        </w:tc>
        <w:tc>
          <w:tcPr>
            <w:tcW w:type="dxa" w:w="3456"/>
            <w:shd w:fill="FFFFFF"/>
            <w:tcMar>
              <w:top w:w="90" w:type="dxa"/>
              <w:start w:w="100" w:type="dxa"/>
              <w:bottom w:w="90" w:type="dxa"/>
              <w:end w:w="100" w:type="dxa"/>
            </w:tcMar>
          </w:tcPr>
          <w:p>
            <w:pPr>
              <w:spacing w:after="0" w:before="0"/>
            </w:pPr>
            <w:r/>
            <w:r>
              <w:rPr>
                <w:rFonts w:ascii="Aptos" w:hAnsi="Aptos"/>
                <w:b w:val="0"/>
                <w:color w:val="1D1D1F"/>
                <w:sz w:val="15"/>
              </w:rPr>
              <w:t>CJK and RTL samples are included as representative addendum content.</w:t>
            </w:r>
          </w:p>
        </w:tc>
      </w:tr>
    </w:tbl>
    <w:p>
      <w:pPr>
        <w:widowControl/>
        <w:spacing w:before="160" w:after="60"/>
      </w:pPr>
      <w:r>
        <w:rPr>
          <w:rFonts w:ascii="Aptos" w:hAnsi="Aptos"/>
          <w:b/>
          <w:color w:val="D9B04C"/>
          <w:sz w:val="18"/>
        </w:rPr>
        <w:t>PROFESSIONAL DISCLAIMER</w:t>
      </w:r>
    </w:p>
    <w:p>
      <w:pPr>
        <w:widowControl/>
        <w:spacing w:line="259" w:lineRule="auto" w:after="120"/>
        <w:jc w:val="both"/>
      </w:pPr>
      <w:r>
        <w:rPr>
          <w:rFonts w:ascii="Aptos" w:hAnsi="Aptos"/>
          <w:color w:val="1D1D1F"/>
          <w:sz w:val="18"/>
        </w:rPr>
        <w:t>This document is a fictional translation portfolio sample created for Scriptorium. It is intended to demonstrate academic translation, formatting, terminology management, and multilingual presentation. It is not a real thesis, clinical report, legal document, or institutional submission.</w:t>
      </w:r>
    </w:p>
    <w:sectPr w:rsidR="00FC693F" w:rsidRPr="0006063C" w:rsidSect="00034616">
      <w:headerReference w:type="default" r:id="rId13"/>
      <w:footerReference w:type="default" r:id="rId14"/>
      <w:pgSz w:w="12240" w:h="15840"/>
      <w:pgMar w:top="936" w:right="936" w:bottom="936" w:left="93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color w:val="5E6673"/>
        <w:sz w:val="14"/>
      </w:rPr>
      <w:t>Fictional portfolio sample - professional translation demonstration - not a clinical or academic claim</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color w:val="5E6673"/>
        <w:sz w:val="14"/>
      </w:rPr>
      <w:t>Fictional portfolio sample - professional translation demonstration - not a clinical or academic claim</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color w:val="5E6673"/>
        <w:sz w:val="14"/>
      </w:rPr>
      <w:t>Fictional portfolio sample - professional translation demonstration - not a clinical or academic claim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b/>
        <w:color w:val="D9B04C"/>
        <w:sz w:val="18"/>
      </w:rPr>
      <w:t>SCRIPTORIUM</w:t>
    </w:r>
    <w:r>
      <w:rPr>
        <w:rFonts w:ascii="Aptos" w:hAnsi="Aptos"/>
        <w:color w:val="5E6673"/>
        <w:sz w:val="16"/>
      </w:rPr>
      <w:t xml:space="preserve">  |  Academic &amp; Research Portfolio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b/>
        <w:color w:val="D9B04C"/>
        <w:sz w:val="18"/>
      </w:rPr>
      <w:t>SCRIPTORIUM</w:t>
    </w:r>
    <w:r>
      <w:rPr>
        <w:rFonts w:ascii="Aptos" w:hAnsi="Aptos"/>
        <w:color w:val="5E6673"/>
        <w:sz w:val="16"/>
      </w:rPr>
      <w:t xml:space="preserve">  |  Aligned Bilingual Translation Table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b/>
        <w:color w:val="D9B04C"/>
        <w:sz w:val="18"/>
      </w:rPr>
      <w:t>SCRIPTORIUM</w:t>
    </w:r>
    <w:r>
      <w:rPr>
        <w:rFonts w:ascii="Aptos" w:hAnsi="Aptos"/>
        <w:color w:val="5E6673"/>
        <w:sz w:val="16"/>
      </w:rPr>
      <w:t xml:space="preserve">  |  Multiscript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3203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3203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3203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