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cs="Calibri"/>
          <w:b/>
          <w:i w:val="0"/>
          <w:color w:val="B8932F"/>
          <w:sz w:val="18"/>
          <w:szCs w:val="18"/>
        </w:rPr>
        <w:t>SCRIPTORIUM  ·  TEACHING - GUIDE</w:t>
      </w:r>
    </w:p>
    <w:p>
      <w:pPr>
        <w:spacing w:after="40" w:before="0" w:line="276" w:lineRule="auto"/>
      </w:pPr>
      <w:r>
        <w:rPr>
          <w:rFonts w:ascii="Calibri" w:hAnsi="Calibri" w:cs="Calibri"/>
          <w:b/>
          <w:i w:val="0"/>
          <w:color w:val="6B7280"/>
          <w:sz w:val="18"/>
          <w:szCs w:val="18"/>
        </w:rPr>
        <w:t>Learning Resource</w:t>
      </w:r>
    </w:p>
    <w:p>
      <w:pPr>
        <w:spacing w:after="80" w:before="80" w:line="276" w:lineRule="auto"/>
      </w:pPr>
      <w:r>
        <w:rPr>
          <w:rFonts w:ascii="Georgia" w:hAnsi="Georgia" w:cs="Georgia"/>
          <w:b/>
          <w:i w:val="0"/>
          <w:color w:val="13213B"/>
          <w:sz w:val="44"/>
          <w:szCs w:val="44"/>
        </w:rPr>
        <w:t>How Translation Really Works</w:t>
      </w:r>
    </w:p>
    <w:p>
      <w:pPr>
        <w:spacing w:after="120" w:before="0" w:line="276" w:lineRule="auto"/>
      </w:pPr>
      <w:r>
        <w:rPr>
          <w:rFonts w:ascii="Georgia" w:hAnsi="Georgia" w:cs="Georgia"/>
          <w:b w:val="0"/>
          <w:i/>
          <w:color w:val="6B7280"/>
          <w:sz w:val="24"/>
          <w:szCs w:val="24"/>
        </w:rPr>
        <w:t>Meaning, tone, register, audience and culture - explained simply.</w:t>
      </w:r>
    </w:p>
    <w:p>
      <w:pPr>
        <w:spacing w:after="120"/>
        <w:pBdr>
          <w:bottom w:val="single" w:sz="10" w:space="4" w:color="B8932F"/>
        </w:pBdr>
      </w:pPr>
    </w:p>
    <w:p>
      <w:pPr>
        <w:spacing w:after="80" w:before="240" w:line="276" w:lineRule="auto"/>
      </w:pPr>
      <w:r>
        <w:rPr>
          <w:rFonts w:ascii="Georgia" w:hAnsi="Georgia" w:cs="Georgia"/>
          <w:b/>
          <w:i w:val="0"/>
          <w:color w:val="13213B"/>
          <w:sz w:val="28"/>
          <w:szCs w:val="28"/>
        </w:rPr>
        <w:t>Translation is not word-swapping</w:t>
      </w:r>
    </w:p>
    <w:p>
      <w:pPr>
        <w:spacing w:after="120" w:before="0" w:line="276" w:lineRule="auto"/>
        <w:jc w:val="both"/>
      </w:pPr>
      <w:r>
        <w:rPr>
          <w:rFonts w:ascii="Calibri" w:hAnsi="Calibri" w:cs="Calibri"/>
          <w:b w:val="0"/>
          <w:i w:val="0"/>
          <w:color w:val="1A1A1A"/>
          <w:sz w:val="22"/>
          <w:szCs w:val="22"/>
        </w:rPr>
        <w:t>A good translation moves meaning, not just words. The same sentence can be correct grammatically and still feel wrong if the tone, the audience or the cultural context is ignored. Professionals work on six layers at once.</w:t>
      </w:r>
    </w:p>
    <w:p>
      <w:pPr>
        <w:spacing w:after="80" w:before="240" w:line="276" w:lineRule="auto"/>
      </w:pPr>
      <w:r>
        <w:rPr>
          <w:rFonts w:ascii="Georgia" w:hAnsi="Georgia" w:cs="Georgia"/>
          <w:b/>
          <w:i w:val="0"/>
          <w:color w:val="13213B"/>
          <w:sz w:val="28"/>
          <w:szCs w:val="28"/>
        </w:rPr>
        <w:t>The six layers</w:t>
      </w:r>
    </w:p>
    <w:tbl>
      <w:tblPr>
        <w:tblW w:type="auto" w:w="0"/>
        <w:jc w:val="center"/>
        <w:tblLook w:firstColumn="1" w:firstRow="1" w:lastColumn="0" w:lastRow="0" w:noHBand="0" w:noVBand="1" w:val="04A0"/>
        <w:tblBorders>
          <w:top w:val="single" w:sz="4" w:space="0" w:color="D8DDE8"/>
          <w:left w:val="single" w:sz="4" w:space="0" w:color="D8DDE8"/>
          <w:bottom w:val="single" w:sz="4" w:space="0" w:color="D8DDE8"/>
          <w:right w:val="single" w:sz="4" w:space="0" w:color="D8DDE8"/>
          <w:insideH w:val="single" w:sz="4" w:space="0" w:color="D8DDE8"/>
          <w:insideV w:val="single" w:sz="4" w:space="0" w:color="D8DDE8"/>
        </w:tblBorders>
      </w:tblPr>
      <w:tblGrid>
        <w:gridCol w:w="4824"/>
        <w:gridCol w:w="4824"/>
      </w:tblGrid>
      <w:tr>
        <w:tc>
          <w:tcPr>
            <w:tcW w:type="dxa" w:w="3168"/>
            <w:shd w:val="clear" w:color="auto" w:fill="13213B"/>
          </w:tcPr>
          <w:p>
            <w:pPr>
              <w:spacing w:after="40" w:before="40"/>
            </w:pPr>
            <w:r>
              <w:rPr>
                <w:rFonts w:ascii="Calibri" w:hAnsi="Calibri" w:cs="Calibri"/>
                <w:b/>
                <w:color w:val="FFFFFF"/>
                <w:sz w:val="20"/>
                <w:szCs w:val="20"/>
              </w:rPr>
              <w:t>Layer</w:t>
            </w:r>
          </w:p>
        </w:tc>
        <w:tc>
          <w:tcPr>
            <w:tcW w:type="dxa" w:w="10080"/>
            <w:shd w:val="clear" w:color="auto" w:fill="13213B"/>
          </w:tcPr>
          <w:p>
            <w:pPr>
              <w:spacing w:after="40" w:before="40"/>
            </w:pPr>
            <w:r>
              <w:rPr>
                <w:rFonts w:ascii="Calibri" w:hAnsi="Calibri" w:cs="Calibri"/>
                <w:b/>
                <w:color w:val="FFFFFF"/>
                <w:sz w:val="20"/>
                <w:szCs w:val="20"/>
              </w:rPr>
              <w:t>Question it answers</w:t>
            </w:r>
          </w:p>
        </w:tc>
      </w:tr>
      <w:tr>
        <w:tc>
          <w:tcPr>
            <w:tcW w:type="dxa" w:w="3168"/>
          </w:tcPr>
          <w:p>
            <w:pPr>
              <w:spacing w:after="40" w:before="40"/>
            </w:pPr>
            <w:r>
              <w:rPr>
                <w:rFonts w:ascii="Calibri" w:hAnsi="Calibri" w:cs="Calibri"/>
                <w:color w:val="1A1A1A"/>
                <w:sz w:val="20"/>
                <w:szCs w:val="20"/>
              </w:rPr>
              <w:t>Meaning</w:t>
            </w:r>
          </w:p>
        </w:tc>
        <w:tc>
          <w:tcPr>
            <w:tcW w:type="dxa" w:w="10080"/>
          </w:tcPr>
          <w:p>
            <w:pPr>
              <w:spacing w:after="40" w:before="40"/>
            </w:pPr>
            <w:r>
              <w:rPr>
                <w:rFonts w:ascii="Calibri" w:hAnsi="Calibri" w:cs="Calibri"/>
                <w:color w:val="1A1A1A"/>
                <w:sz w:val="20"/>
                <w:szCs w:val="20"/>
              </w:rPr>
              <w:t>What is actually being said?</w:t>
            </w:r>
          </w:p>
        </w:tc>
      </w:tr>
      <w:tr>
        <w:tc>
          <w:tcPr>
            <w:tcW w:type="dxa" w:w="3168"/>
            <w:shd w:val="clear" w:color="auto" w:fill="F4F2EC"/>
          </w:tcPr>
          <w:p>
            <w:pPr>
              <w:spacing w:after="40" w:before="40"/>
            </w:pPr>
            <w:r>
              <w:rPr>
                <w:rFonts w:ascii="Calibri" w:hAnsi="Calibri" w:cs="Calibri"/>
                <w:color w:val="1A1A1A"/>
                <w:sz w:val="20"/>
                <w:szCs w:val="20"/>
              </w:rPr>
              <w:t>Tone</w:t>
            </w:r>
          </w:p>
        </w:tc>
        <w:tc>
          <w:tcPr>
            <w:tcW w:type="dxa" w:w="10080"/>
            <w:shd w:val="clear" w:color="auto" w:fill="F4F2EC"/>
          </w:tcPr>
          <w:p>
            <w:pPr>
              <w:spacing w:after="40" w:before="40"/>
            </w:pPr>
            <w:r>
              <w:rPr>
                <w:rFonts w:ascii="Calibri" w:hAnsi="Calibri" w:cs="Calibri"/>
                <w:color w:val="1A1A1A"/>
                <w:sz w:val="20"/>
                <w:szCs w:val="20"/>
              </w:rPr>
              <w:t>Is it warm, formal, playful, urgent?</w:t>
            </w:r>
          </w:p>
        </w:tc>
      </w:tr>
      <w:tr>
        <w:tc>
          <w:tcPr>
            <w:tcW w:type="dxa" w:w="3168"/>
          </w:tcPr>
          <w:p>
            <w:pPr>
              <w:spacing w:after="40" w:before="40"/>
            </w:pPr>
            <w:r>
              <w:rPr>
                <w:rFonts w:ascii="Calibri" w:hAnsi="Calibri" w:cs="Calibri"/>
                <w:color w:val="1A1A1A"/>
                <w:sz w:val="20"/>
                <w:szCs w:val="20"/>
              </w:rPr>
              <w:t>Register</w:t>
            </w:r>
          </w:p>
        </w:tc>
        <w:tc>
          <w:tcPr>
            <w:tcW w:type="dxa" w:w="10080"/>
          </w:tcPr>
          <w:p>
            <w:pPr>
              <w:spacing w:after="40" w:before="40"/>
            </w:pPr>
            <w:r>
              <w:rPr>
                <w:rFonts w:ascii="Calibri" w:hAnsi="Calibri" w:cs="Calibri"/>
                <w:color w:val="1A1A1A"/>
                <w:sz w:val="20"/>
                <w:szCs w:val="20"/>
              </w:rPr>
              <w:t>Academic, business, casual, technical?</w:t>
            </w:r>
          </w:p>
        </w:tc>
      </w:tr>
      <w:tr>
        <w:tc>
          <w:tcPr>
            <w:tcW w:type="dxa" w:w="3168"/>
            <w:shd w:val="clear" w:color="auto" w:fill="F4F2EC"/>
          </w:tcPr>
          <w:p>
            <w:pPr>
              <w:spacing w:after="40" w:before="40"/>
            </w:pPr>
            <w:r>
              <w:rPr>
                <w:rFonts w:ascii="Calibri" w:hAnsi="Calibri" w:cs="Calibri"/>
                <w:color w:val="1A1A1A"/>
                <w:sz w:val="20"/>
                <w:szCs w:val="20"/>
              </w:rPr>
              <w:t>Audience</w:t>
            </w:r>
          </w:p>
        </w:tc>
        <w:tc>
          <w:tcPr>
            <w:tcW w:type="dxa" w:w="10080"/>
            <w:shd w:val="clear" w:color="auto" w:fill="F4F2EC"/>
          </w:tcPr>
          <w:p>
            <w:pPr>
              <w:spacing w:after="40" w:before="40"/>
            </w:pPr>
            <w:r>
              <w:rPr>
                <w:rFonts w:ascii="Calibri" w:hAnsi="Calibri" w:cs="Calibri"/>
                <w:color w:val="1A1A1A"/>
                <w:sz w:val="20"/>
                <w:szCs w:val="20"/>
              </w:rPr>
              <w:t>Who reads this, and what do they expect?</w:t>
            </w:r>
          </w:p>
        </w:tc>
      </w:tr>
      <w:tr>
        <w:tc>
          <w:tcPr>
            <w:tcW w:type="dxa" w:w="3168"/>
          </w:tcPr>
          <w:p>
            <w:pPr>
              <w:spacing w:after="40" w:before="40"/>
            </w:pPr>
            <w:r>
              <w:rPr>
                <w:rFonts w:ascii="Calibri" w:hAnsi="Calibri" w:cs="Calibri"/>
                <w:color w:val="1A1A1A"/>
                <w:sz w:val="20"/>
                <w:szCs w:val="20"/>
              </w:rPr>
              <w:t>Format</w:t>
            </w:r>
          </w:p>
        </w:tc>
        <w:tc>
          <w:tcPr>
            <w:tcW w:type="dxa" w:w="10080"/>
          </w:tcPr>
          <w:p>
            <w:pPr>
              <w:spacing w:after="40" w:before="40"/>
            </w:pPr>
            <w:r>
              <w:rPr>
                <w:rFonts w:ascii="Calibri" w:hAnsi="Calibri" w:cs="Calibri"/>
                <w:color w:val="1A1A1A"/>
                <w:sz w:val="20"/>
                <w:szCs w:val="20"/>
              </w:rPr>
              <w:t>Headings, tables, length, UI limits?</w:t>
            </w:r>
          </w:p>
        </w:tc>
      </w:tr>
      <w:tr>
        <w:tc>
          <w:tcPr>
            <w:tcW w:type="dxa" w:w="3168"/>
            <w:shd w:val="clear" w:color="auto" w:fill="F4F2EC"/>
          </w:tcPr>
          <w:p>
            <w:pPr>
              <w:spacing w:after="40" w:before="40"/>
            </w:pPr>
            <w:r>
              <w:rPr>
                <w:rFonts w:ascii="Calibri" w:hAnsi="Calibri" w:cs="Calibri"/>
                <w:color w:val="1A1A1A"/>
                <w:sz w:val="20"/>
                <w:szCs w:val="20"/>
              </w:rPr>
              <w:t>Culture</w:t>
            </w:r>
          </w:p>
        </w:tc>
        <w:tc>
          <w:tcPr>
            <w:tcW w:type="dxa" w:w="10080"/>
            <w:shd w:val="clear" w:color="auto" w:fill="F4F2EC"/>
          </w:tcPr>
          <w:p>
            <w:pPr>
              <w:spacing w:after="40" w:before="40"/>
            </w:pPr>
            <w:r>
              <w:rPr>
                <w:rFonts w:ascii="Calibri" w:hAnsi="Calibri" w:cs="Calibri"/>
                <w:color w:val="1A1A1A"/>
                <w:sz w:val="20"/>
                <w:szCs w:val="20"/>
              </w:rPr>
              <w:t>Idioms, examples, units, references that must adapt?</w:t>
            </w:r>
          </w:p>
        </w:tc>
      </w:tr>
    </w:tbl>
    <w:p>
      <w:pPr>
        <w:spacing w:after="80" w:before="240" w:line="276" w:lineRule="auto"/>
      </w:pPr>
      <w:r>
        <w:rPr>
          <w:rFonts w:ascii="Georgia" w:hAnsi="Georgia" w:cs="Georgia"/>
          <w:b/>
          <w:i w:val="0"/>
          <w:color w:val="13213B"/>
          <w:sz w:val="28"/>
          <w:szCs w:val="28"/>
        </w:rPr>
        <w:t>A small example</w:t>
      </w:r>
    </w:p>
    <w:p>
      <w:pPr>
        <w:spacing w:after="120" w:before="0" w:line="276" w:lineRule="auto"/>
        <w:jc w:val="both"/>
      </w:pPr>
      <w:r>
        <w:rPr>
          <w:rFonts w:ascii="Calibri" w:hAnsi="Calibri" w:cs="Calibri"/>
          <w:b w:val="0"/>
          <w:i w:val="0"/>
          <w:color w:val="1A1A1A"/>
          <w:sz w:val="22"/>
          <w:szCs w:val="22"/>
        </w:rPr>
        <w:t>English “You're all set!” is friendly and informal. A literal Spanish version sounds odd; “¡Todo listo!” keeps the meaning and the friendly tone. That single choice is translation working on meaning + tone + culture together.</w:t>
      </w:r>
    </w:p>
    <w:p>
      <w:pPr>
        <w:spacing w:after="80" w:before="240" w:line="276" w:lineRule="auto"/>
      </w:pPr>
      <w:r>
        <w:rPr>
          <w:rFonts w:ascii="Georgia" w:hAnsi="Georgia" w:cs="Georgia"/>
          <w:b/>
          <w:i w:val="0"/>
          <w:color w:val="13213B"/>
          <w:sz w:val="28"/>
          <w:szCs w:val="28"/>
        </w:rPr>
        <w:t>How to get a better translation</w:t>
      </w:r>
    </w:p>
    <w:p>
      <w:pPr>
        <w:pStyle w:val="ListBullet"/>
        <w:spacing w:after="60" w:line="269" w:lineRule="auto"/>
      </w:pPr>
      <w:r>
        <w:rPr>
          <w:rFonts w:ascii="Calibri" w:hAnsi="Calibri" w:cs="Calibri"/>
          <w:color w:val="1A1A1A"/>
          <w:sz w:val="22"/>
          <w:szCs w:val="22"/>
        </w:rPr>
        <w:t>Tell the translator the audience and purpose, not just the language pair.</w:t>
      </w:r>
    </w:p>
    <w:p>
      <w:pPr>
        <w:pStyle w:val="ListBullet"/>
        <w:spacing w:after="60" w:line="269" w:lineRule="auto"/>
      </w:pPr>
      <w:r>
        <w:rPr>
          <w:rFonts w:ascii="Calibri" w:hAnsi="Calibri" w:cs="Calibri"/>
          <w:color w:val="1A1A1A"/>
          <w:sz w:val="22"/>
          <w:szCs w:val="22"/>
        </w:rPr>
        <w:t>Share a glossary or preferred terms if you have them.</w:t>
      </w:r>
    </w:p>
    <w:p>
      <w:pPr>
        <w:pStyle w:val="ListBullet"/>
        <w:spacing w:after="60" w:line="269" w:lineRule="auto"/>
      </w:pPr>
      <w:r>
        <w:rPr>
          <w:rFonts w:ascii="Calibri" w:hAnsi="Calibri" w:cs="Calibri"/>
          <w:color w:val="1A1A1A"/>
          <w:sz w:val="22"/>
          <w:szCs w:val="22"/>
        </w:rPr>
        <w:t>Send the final text (not a draft) and the file format you need back.</w:t>
      </w:r>
    </w:p>
    <w:p>
      <w:pPr>
        <w:pStyle w:val="ListBullet"/>
        <w:spacing w:after="60" w:line="269" w:lineRule="auto"/>
      </w:pPr>
      <w:r>
        <w:rPr>
          <w:rFonts w:ascii="Calibri" w:hAnsi="Calibri" w:cs="Calibri"/>
          <w:color w:val="1A1A1A"/>
          <w:sz w:val="22"/>
          <w:szCs w:val="22"/>
        </w:rPr>
        <w:t>Allow a revision round for tone and terminology.</w:t>
      </w:r>
    </w:p>
    <w:p>
      <w:pPr>
        <w:spacing w:after="120"/>
        <w:pBdr>
          <w:bottom w:val="single" w:sz="10" w:space="4" w:color="D8DDE8"/>
        </w:pBdr>
      </w:pPr>
    </w:p>
    <w:p>
      <w:pPr>
        <w:spacing w:after="80" w:before="0" w:line="276" w:lineRule="auto"/>
      </w:pPr>
      <w:r>
        <w:rPr>
          <w:rFonts w:ascii="Calibri" w:hAnsi="Calibri" w:cs="Calibri"/>
          <w:b/>
          <w:i w:val="0"/>
          <w:color w:val="B8932F"/>
          <w:sz w:val="18"/>
          <w:szCs w:val="18"/>
        </w:rPr>
        <w:t>RESUMEN EN ESPAÑOL</w:t>
      </w:r>
    </w:p>
    <w:p>
      <w:pPr>
        <w:spacing w:after="120" w:before="0" w:line="276" w:lineRule="auto"/>
        <w:jc w:val="both"/>
      </w:pPr>
      <w:r>
        <w:rPr>
          <w:rFonts w:ascii="Calibri" w:hAnsi="Calibri" w:cs="Calibri"/>
          <w:b w:val="0"/>
          <w:i w:val="0"/>
          <w:color w:val="1A1A1A"/>
          <w:sz w:val="22"/>
          <w:szCs w:val="22"/>
        </w:rPr>
        <w:t>Traducir no es cambiar palabras: es trasladar significado cuidando tono, registro, audiencia, formato y cultura al mismo tiempo. Para recibir una mejor traducción, indica el público y el propósito, comparte tu glosario, envía el texto final y permite una ronda de revisión.</w:t>
      </w:r>
    </w:p>
    <w:p>
      <w:pPr>
        <w:spacing w:after="120"/>
        <w:pBdr>
          <w:bottom w:val="single" w:sz="10" w:space="4" w:color="D8DDE8"/>
        </w:pBdr>
      </w:pPr>
    </w:p>
    <w:p>
      <w:pPr>
        <w:spacing w:after="40" w:before="0" w:line="276" w:lineRule="auto"/>
      </w:pPr>
      <w:r>
        <w:rPr>
          <w:rFonts w:ascii="Calibri" w:hAnsi="Calibri" w:cs="Calibri"/>
          <w:b w:val="0"/>
          <w:i/>
          <w:color w:val="6B7280"/>
          <w:sz w:val="16"/>
          <w:szCs w:val="16"/>
        </w:rPr>
        <w:t>Learning guide published by Scriptorium for educational purposes.</w:t>
      </w:r>
    </w:p>
    <w:p>
      <w:pPr>
        <w:spacing w:after="0" w:before="0" w:line="276" w:lineRule="auto"/>
      </w:pPr>
      <w:r>
        <w:rPr>
          <w:rFonts w:ascii="Calibri" w:hAnsi="Calibri" w:cs="Calibri"/>
          <w:b w:val="0"/>
          <w:i w:val="0"/>
          <w:color w:val="6B7280"/>
          <w:sz w:val="16"/>
          <w:szCs w:val="16"/>
        </w:rPr>
        <w:t>Scriptorium · Languages · Texts · Documentation · scriptorium-language-studio · josuepug@gmail.com</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6B7280"/>
        <w:sz w:val="16"/>
        <w:szCs w:val="16"/>
      </w:rPr>
      <w:t>Scriptorium · Teaching · How Translation Really 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