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E302" w14:textId="625E1C8E" w:rsidR="009A1F40" w:rsidRDefault="00000000">
      <w:pPr>
        <w:pStyle w:val="Heading1"/>
        <w:ind w:left="720" w:hanging="720"/>
        <w:jc w:val="center"/>
        <w:rPr>
          <w:b/>
        </w:rPr>
      </w:pPr>
      <w:r>
        <w:rPr>
          <w:b/>
        </w:rPr>
        <w:t>Laboratorio 0</w:t>
      </w:r>
      <w:r w:rsidR="002216B1">
        <w:rPr>
          <w:b/>
        </w:rPr>
        <w:t>9</w:t>
      </w:r>
    </w:p>
    <w:p w14:paraId="4294A901" w14:textId="5444E6B6" w:rsidR="009A1F40" w:rsidRDefault="00F75C13">
      <w:pPr>
        <w:rPr>
          <w:b/>
        </w:rPr>
      </w:pPr>
      <w:r>
        <w:rPr>
          <w:b/>
        </w:rPr>
        <w:t>INSTRUCCIONES</w:t>
      </w:r>
    </w:p>
    <w:p w14:paraId="5C24717D" w14:textId="49EE8462" w:rsidR="009A1F40" w:rsidRDefault="00000000" w:rsidP="00F75C13">
      <w:pPr>
        <w:jc w:val="both"/>
        <w:rPr>
          <w:color w:val="000000"/>
        </w:rPr>
      </w:pPr>
      <w:r>
        <w:rPr>
          <w:color w:val="000000"/>
        </w:rPr>
        <w:t>En parejas</w:t>
      </w:r>
      <w:r w:rsidR="002216B1">
        <w:rPr>
          <w:color w:val="000000"/>
        </w:rPr>
        <w:t xml:space="preserve"> del laboratorio 08</w:t>
      </w:r>
      <w:r>
        <w:rPr>
          <w:color w:val="000000"/>
        </w:rPr>
        <w:t xml:space="preserve">, </w:t>
      </w:r>
      <w:r w:rsidR="002216B1">
        <w:rPr>
          <w:color w:val="000000"/>
        </w:rPr>
        <w:t xml:space="preserve">utilice arreglos y ciclos para desarrollar eficientemente los ejercicios indicados a continuación en </w:t>
      </w:r>
      <w:r w:rsidR="00F75C13">
        <w:rPr>
          <w:color w:val="000000"/>
        </w:rPr>
        <w:t>Assembler x86-32.</w:t>
      </w:r>
    </w:p>
    <w:p w14:paraId="0AA2D332" w14:textId="2BDCA417" w:rsidR="00F75C13" w:rsidRDefault="00F75C13" w:rsidP="00B16BC0">
      <w:pPr>
        <w:spacing w:after="0"/>
        <w:rPr>
          <w:color w:val="000000"/>
        </w:rPr>
      </w:pPr>
      <w:r>
        <w:rPr>
          <w:color w:val="000000"/>
        </w:rPr>
        <w:t xml:space="preserve">Recordar: </w:t>
      </w:r>
    </w:p>
    <w:p w14:paraId="7D22B85A" w14:textId="67B7A0DB" w:rsidR="009A1F40" w:rsidRPr="00F75C13" w:rsidRDefault="00000000" w:rsidP="00F75C13">
      <w:pPr>
        <w:pStyle w:val="ListParagraph"/>
        <w:numPr>
          <w:ilvl w:val="0"/>
          <w:numId w:val="7"/>
        </w:numPr>
        <w:rPr>
          <w:color w:val="000000"/>
        </w:rPr>
      </w:pPr>
      <w:r w:rsidRPr="00F75C13">
        <w:rPr>
          <w:color w:val="000000"/>
        </w:rPr>
        <w:t>Agregar encabezado y comentarios a todas las líneas importantes de código.</w:t>
      </w:r>
    </w:p>
    <w:p w14:paraId="470635C9" w14:textId="77777777" w:rsidR="00F75C13" w:rsidRDefault="00000000" w:rsidP="00F75C13">
      <w:pPr>
        <w:pStyle w:val="ListParagraph"/>
        <w:numPr>
          <w:ilvl w:val="0"/>
          <w:numId w:val="7"/>
        </w:numPr>
        <w:rPr>
          <w:color w:val="000000"/>
        </w:rPr>
      </w:pPr>
      <w:r w:rsidRPr="00F75C13">
        <w:rPr>
          <w:color w:val="000000"/>
        </w:rPr>
        <w:t>El procedimiento principal para ambos ejercicios debe de llamarse “</w:t>
      </w:r>
      <w:r w:rsidRPr="0051526F">
        <w:rPr>
          <w:i/>
          <w:iCs/>
          <w:color w:val="000000"/>
        </w:rPr>
        <w:t>main</w:t>
      </w:r>
      <w:r w:rsidRPr="00F75C13">
        <w:rPr>
          <w:color w:val="000000"/>
        </w:rPr>
        <w:t>” (en minúscula).</w:t>
      </w:r>
    </w:p>
    <w:p w14:paraId="08B336F3" w14:textId="240DF895" w:rsidR="009A1F40" w:rsidRPr="00F75C13" w:rsidRDefault="00000000" w:rsidP="00B16BC0">
      <w:pPr>
        <w:pStyle w:val="ListParagraph"/>
        <w:numPr>
          <w:ilvl w:val="0"/>
          <w:numId w:val="7"/>
        </w:numPr>
        <w:spacing w:after="0"/>
        <w:rPr>
          <w:color w:val="000000"/>
        </w:rPr>
      </w:pPr>
      <w:r w:rsidRPr="00F75C13">
        <w:rPr>
          <w:color w:val="000000"/>
        </w:rPr>
        <w:t xml:space="preserve">En CANVAS debe de entregar lo siguiente: </w:t>
      </w:r>
    </w:p>
    <w:p w14:paraId="5E4FB289" w14:textId="42CE4010" w:rsidR="009A1F4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Archivo .</w:t>
      </w:r>
      <w:r w:rsidR="00285953">
        <w:rPr>
          <w:color w:val="000000"/>
        </w:rPr>
        <w:t>asm</w:t>
      </w:r>
      <w:r>
        <w:rPr>
          <w:color w:val="000000"/>
        </w:rPr>
        <w:t xml:space="preserve"> de cada uno de los </w:t>
      </w:r>
      <w:r w:rsidR="00285953">
        <w:rPr>
          <w:color w:val="000000"/>
        </w:rPr>
        <w:t>programas desarrollados.</w:t>
      </w:r>
    </w:p>
    <w:p w14:paraId="1E3693DC" w14:textId="7907D1D6" w:rsidR="009A1F40" w:rsidRDefault="003A0A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 video demostrando el funcionamiento </w:t>
      </w:r>
      <w:r w:rsidR="00B16BC0">
        <w:rPr>
          <w:color w:val="000000"/>
        </w:rPr>
        <w:t>del ejercicio</w:t>
      </w:r>
      <w:r w:rsidR="00D6535A">
        <w:rPr>
          <w:color w:val="000000"/>
        </w:rPr>
        <w:t>.</w:t>
      </w:r>
    </w:p>
    <w:p w14:paraId="754FC3E0" w14:textId="77777777" w:rsidR="009A1F40" w:rsidRPr="00C04804" w:rsidRDefault="00000000">
      <w:pPr>
        <w:rPr>
          <w:b/>
          <w:u w:val="single"/>
        </w:rPr>
      </w:pPr>
      <w:r w:rsidRPr="00C04804">
        <w:rPr>
          <w:b/>
          <w:u w:val="single"/>
        </w:rPr>
        <w:t>Parte 01 (40 puntos): Evaluador de régimen apropiado en SAT y obligaciones fiscales.</w:t>
      </w:r>
    </w:p>
    <w:p w14:paraId="3643ABA4" w14:textId="544A3FB4" w:rsidR="009A1F4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 xml:space="preserve">Evaluador de régimen apropiado en SAT y obligaciones fiscales. </w:t>
      </w:r>
    </w:p>
    <w:p w14:paraId="7238FC6C" w14:textId="1B6D0954" w:rsidR="006235AF" w:rsidRDefault="00000000" w:rsidP="006235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Escriba un programa que contenga en memoria </w:t>
      </w:r>
      <w:r w:rsidR="00366ACE">
        <w:rPr>
          <w:color w:val="000000"/>
        </w:rPr>
        <w:t>un arreglo (array)</w:t>
      </w:r>
      <w:r w:rsidR="00C56AE6">
        <w:rPr>
          <w:color w:val="000000"/>
        </w:rPr>
        <w:t xml:space="preserve"> que guardará la </w:t>
      </w:r>
      <w:r>
        <w:rPr>
          <w:color w:val="000000"/>
        </w:rPr>
        <w:t>información de</w:t>
      </w:r>
      <w:r w:rsidR="00F176CD">
        <w:rPr>
          <w:color w:val="000000"/>
        </w:rPr>
        <w:t>l monto facturado por una empresa durante los últimos</w:t>
      </w:r>
      <w:r>
        <w:rPr>
          <w:color w:val="000000"/>
        </w:rPr>
        <w:t xml:space="preserve"> 12 </w:t>
      </w:r>
      <w:r w:rsidR="00F176CD">
        <w:rPr>
          <w:color w:val="000000"/>
        </w:rPr>
        <w:t>meses</w:t>
      </w:r>
      <w:r w:rsidR="00C56AE6">
        <w:rPr>
          <w:color w:val="000000"/>
        </w:rPr>
        <w:t xml:space="preserve">: desde </w:t>
      </w:r>
      <w:r w:rsidR="00563498">
        <w:rPr>
          <w:color w:val="000000"/>
        </w:rPr>
        <w:t xml:space="preserve">enero </w:t>
      </w:r>
      <w:r w:rsidR="00C56AE6">
        <w:rPr>
          <w:color w:val="000000"/>
        </w:rPr>
        <w:t xml:space="preserve">del 2022 a </w:t>
      </w:r>
      <w:r w:rsidR="00563498">
        <w:rPr>
          <w:color w:val="000000"/>
        </w:rPr>
        <w:t>diciembre</w:t>
      </w:r>
      <w:r w:rsidR="00C56AE6">
        <w:rPr>
          <w:color w:val="000000"/>
        </w:rPr>
        <w:t xml:space="preserve"> del 202</w:t>
      </w:r>
      <w:r w:rsidR="00563498">
        <w:rPr>
          <w:color w:val="000000"/>
        </w:rPr>
        <w:t>2</w:t>
      </w:r>
      <w:r w:rsidR="00F176CD">
        <w:rPr>
          <w:color w:val="000000"/>
        </w:rPr>
        <w:t xml:space="preserve">. </w:t>
      </w:r>
      <w:r w:rsidR="006235AF">
        <w:rPr>
          <w:color w:val="000000"/>
        </w:rPr>
        <w:t>La empresa se encuentra registrada en SAT como “Pequeño contribuyente”.</w:t>
      </w:r>
    </w:p>
    <w:p w14:paraId="39BE4BC8" w14:textId="0CA33028" w:rsidR="00C56AE6" w:rsidRDefault="00C56A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Los datos del monto facturado deben ingresarse por teclado</w:t>
      </w:r>
    </w:p>
    <w:p w14:paraId="2C57AA21" w14:textId="38731D43" w:rsidR="009A1F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Para cada mes, calcule el monto de I</w:t>
      </w:r>
      <w:r w:rsidR="00F75C13">
        <w:rPr>
          <w:color w:val="000000"/>
        </w:rPr>
        <w:t>VA</w:t>
      </w:r>
      <w:r w:rsidR="00BA1F97">
        <w:rPr>
          <w:color w:val="000000"/>
        </w:rPr>
        <w:t xml:space="preserve"> (en valor entero-</w:t>
      </w:r>
      <w:r w:rsidR="00BA1F97" w:rsidRPr="0051526F">
        <w:rPr>
          <w:i/>
          <w:iCs/>
          <w:color w:val="000000"/>
        </w:rPr>
        <w:t>int</w:t>
      </w:r>
      <w:r w:rsidR="00BA1F97">
        <w:rPr>
          <w:color w:val="000000"/>
        </w:rPr>
        <w:t>)</w:t>
      </w:r>
      <w:r>
        <w:rPr>
          <w:color w:val="000000"/>
        </w:rPr>
        <w:t xml:space="preserve"> que debe de </w:t>
      </w:r>
      <w:r>
        <w:t>pagar como</w:t>
      </w:r>
      <w:r>
        <w:rPr>
          <w:color w:val="000000"/>
        </w:rPr>
        <w:t xml:space="preserve"> impuesto a la SAT </w:t>
      </w:r>
      <w:r w:rsidR="00A75954">
        <w:rPr>
          <w:color w:val="000000"/>
        </w:rPr>
        <w:t xml:space="preserve"> </w:t>
      </w:r>
      <w:r>
        <w:rPr>
          <w:color w:val="000000"/>
        </w:rPr>
        <w:t xml:space="preserve">(5% sobre el valor de la factura). </w:t>
      </w:r>
      <w:r w:rsidR="00366ACE">
        <w:rPr>
          <w:color w:val="000000"/>
        </w:rPr>
        <w:t xml:space="preserve">Todos los valores del IVA también deben ser almacenados en un </w:t>
      </w:r>
      <w:r w:rsidR="00366ACE" w:rsidRPr="00366ACE">
        <w:rPr>
          <w:i/>
          <w:iCs/>
          <w:color w:val="000000"/>
        </w:rPr>
        <w:t>array</w:t>
      </w:r>
      <w:r w:rsidR="00366ACE">
        <w:rPr>
          <w:color w:val="000000"/>
        </w:rPr>
        <w:t>.</w:t>
      </w:r>
      <w:r w:rsidR="00520C72">
        <w:rPr>
          <w:color w:val="000000"/>
        </w:rPr>
        <w:t xml:space="preserve"> El cálculo debe usar ciclos para que el programa sea eficiente y no se emplee código repetitivo.</w:t>
      </w:r>
    </w:p>
    <w:p w14:paraId="3A268164" w14:textId="10F308AD" w:rsidR="009A1F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Imprimir en pantalla una tabla de resumen de todas las facturas por mes que tenga la siguiente información</w:t>
      </w:r>
      <w:r w:rsidR="00520C72">
        <w:rPr>
          <w:color w:val="000000"/>
        </w:rPr>
        <w:t xml:space="preserve"> (el siguiente es solo un ejemplo de impresión, puede usar el formato que considere mejor, siempre que se incluyan los datos solicitados)</w:t>
      </w:r>
      <w:r>
        <w:rPr>
          <w:color w:val="000000"/>
        </w:rPr>
        <w:t>:</w:t>
      </w:r>
    </w:p>
    <w:p w14:paraId="723EA527" w14:textId="77777777" w:rsidR="009A1F4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Mes</w:t>
      </w:r>
    </w:p>
    <w:p w14:paraId="1A1CA93A" w14:textId="77777777" w:rsidR="006510F8" w:rsidRDefault="006510F8" w:rsidP="006510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NIT</w:t>
      </w:r>
    </w:p>
    <w:p w14:paraId="55159D64" w14:textId="77777777" w:rsidR="009A1F4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Monto facturado</w:t>
      </w:r>
    </w:p>
    <w:p w14:paraId="3943F9B1" w14:textId="72D5163B" w:rsidR="00E9607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I</w:t>
      </w:r>
      <w:r w:rsidR="00F75C13">
        <w:rPr>
          <w:color w:val="000000"/>
        </w:rPr>
        <w:t>VA</w:t>
      </w:r>
    </w:p>
    <w:p w14:paraId="31E7EB05" w14:textId="6D9665A8" w:rsidR="007A1782" w:rsidRDefault="00A0468A" w:rsidP="004D42DD">
      <w:pPr>
        <w:rPr>
          <w:color w:val="000000"/>
        </w:rPr>
      </w:pPr>
      <w:r w:rsidRPr="004E410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BA4D1" wp14:editId="7A4D84F5">
                <wp:simplePos x="0" y="0"/>
                <wp:positionH relativeFrom="column">
                  <wp:posOffset>318304</wp:posOffset>
                </wp:positionH>
                <wp:positionV relativeFrom="paragraph">
                  <wp:posOffset>93048</wp:posOffset>
                </wp:positionV>
                <wp:extent cx="5984111" cy="1631950"/>
                <wp:effectExtent l="0" t="0" r="0" b="6350"/>
                <wp:wrapNone/>
                <wp:docPr id="618340972" name="Google Shape;499;p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111" cy="163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ACC55B" w14:textId="11F587C9" w:rsidR="006820BF" w:rsidRDefault="006820BF" w:rsidP="006820BF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  <w:t>EJEMPLO:</w:t>
                            </w:r>
                          </w:p>
                          <w:p w14:paraId="6AF948B8" w14:textId="31F78C60" w:rsidR="007A1782" w:rsidRDefault="00C429AD" w:rsidP="007A1782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108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  <w:t>Ene</w:t>
                            </w:r>
                            <w:r w:rsidR="007A178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  <w:t xml:space="preserve"> 2022</w:t>
                            </w:r>
                            <w:r w:rsidR="00A0468A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  <w:t xml:space="preserve">:  </w:t>
                            </w:r>
                            <w:r w:rsidR="00E96071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  <w:t>NIT: 4554009   F</w:t>
                            </w:r>
                            <w:r w:rsidR="007A178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  <w:t>acturado: 18000</w:t>
                            </w:r>
                            <w:r w:rsidR="00A0468A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  <w:t>.00</w:t>
                            </w:r>
                            <w:r w:rsidR="007A178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  <w:t xml:space="preserve">  </w:t>
                            </w:r>
                            <w:r w:rsidR="00E96071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  <w:t xml:space="preserve">  </w:t>
                            </w:r>
                            <w:r w:rsidR="006B72C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  <w:t>IVA</w:t>
                            </w:r>
                            <w:r w:rsidR="007A178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  <w:t>: 900</w:t>
                            </w:r>
                            <w:r w:rsidR="00A0468A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  <w:t>.00</w:t>
                            </w:r>
                          </w:p>
                          <w:p w14:paraId="7B623D24" w14:textId="77777777" w:rsidR="00E96071" w:rsidRDefault="00E96071" w:rsidP="006B72C2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108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F6D789F" w14:textId="0ABFF786" w:rsidR="00E96071" w:rsidRDefault="00C429AD" w:rsidP="00E9607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108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  <w:t>Feb</w:t>
                            </w:r>
                            <w:r w:rsidR="006B72C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  <w:t xml:space="preserve"> 2022</w:t>
                            </w:r>
                            <w:r w:rsidR="00A0468A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</w:rPr>
                              <w:t xml:space="preserve">:  </w:t>
                            </w:r>
                            <w:r w:rsidR="00E96071" w:rsidRPr="00445923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lang w:val="pt-BR"/>
                              </w:rPr>
                              <w:t xml:space="preserve">NIT: </w:t>
                            </w:r>
                            <w:r w:rsidR="00445923" w:rsidRPr="00445923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lang w:val="pt-BR"/>
                              </w:rPr>
                              <w:t>5575220</w:t>
                            </w:r>
                            <w:r w:rsidR="00E96071" w:rsidRPr="00445923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lang w:val="pt-BR"/>
                              </w:rPr>
                              <w:t xml:space="preserve">  </w:t>
                            </w:r>
                            <w:r w:rsidR="00CB03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lang w:val="pt-BR"/>
                              </w:rPr>
                              <w:t xml:space="preserve"> </w:t>
                            </w:r>
                            <w:r w:rsidR="00E96071" w:rsidRPr="00445923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lang w:val="pt-BR"/>
                              </w:rPr>
                              <w:t xml:space="preserve">Facturado: </w:t>
                            </w:r>
                            <w:r w:rsidR="00445923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lang w:val="pt-BR"/>
                              </w:rPr>
                              <w:t>3000</w:t>
                            </w:r>
                            <w:r w:rsidR="00A0468A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lang w:val="pt-BR"/>
                              </w:rPr>
                              <w:t>.00</w:t>
                            </w:r>
                            <w:r w:rsidR="00445923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lang w:val="pt-BR"/>
                              </w:rPr>
                              <w:t xml:space="preserve"> </w:t>
                            </w:r>
                            <w:r w:rsidR="00E96071" w:rsidRPr="00445923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lang w:val="pt-BR"/>
                              </w:rPr>
                              <w:t xml:space="preserve">    IVA: </w:t>
                            </w:r>
                            <w:r w:rsidR="00445923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lang w:val="pt-BR"/>
                              </w:rPr>
                              <w:t>150</w:t>
                            </w:r>
                            <w:r w:rsidR="00A0468A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lang w:val="pt-BR"/>
                              </w:rPr>
                              <w:t>.00</w:t>
                            </w:r>
                          </w:p>
                          <w:p w14:paraId="0561DEF5" w14:textId="77777777" w:rsidR="002B5619" w:rsidRDefault="002B5619" w:rsidP="00E9607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108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lang w:val="pt-BR"/>
                              </w:rPr>
                            </w:pPr>
                          </w:p>
                          <w:p w14:paraId="6F6C4644" w14:textId="0E0ABEC6" w:rsidR="002B5619" w:rsidRPr="00445923" w:rsidRDefault="002B5619" w:rsidP="00E9607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108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lang w:val="pt-BR"/>
                              </w:rPr>
                              <w:t>...</w:t>
                            </w:r>
                          </w:p>
                          <w:p w14:paraId="2C9F30ED" w14:textId="77777777" w:rsidR="006B72C2" w:rsidRPr="00445923" w:rsidRDefault="006B72C2" w:rsidP="007A1782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108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lang w:val="pt-BR"/>
                              </w:rPr>
                            </w:pPr>
                          </w:p>
                          <w:p w14:paraId="7867A085" w14:textId="77777777" w:rsidR="007A1782" w:rsidRPr="00445923" w:rsidRDefault="007A1782" w:rsidP="007A1782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445923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BA4D1" id="_x0000_t202" coordsize="21600,21600" o:spt="202" path="m,l,21600r21600,l21600,xe">
                <v:stroke joinstyle="miter"/>
                <v:path gradientshapeok="t" o:connecttype="rect"/>
              </v:shapetype>
              <v:shape id="Google Shape;499;p38" o:spid="_x0000_s1026" type="#_x0000_t202" style="position:absolute;margin-left:25.05pt;margin-top:7.35pt;width:471.2pt;height:1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" fillcolor="black [3213]" stroked="f">
                <v:textbox inset="2.53958mm,2.53958mm,2.53958mm,2.53958mm">
                  <w:txbxContent>
                    <w:p w14:paraId="43ACC55B" w14:textId="11F587C9" w:rsidR="006820BF" w:rsidRDefault="006820BF" w:rsidP="006820B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  <w:t>EJEMPLO:</w:t>
                      </w:r>
                    </w:p>
                    <w:p w14:paraId="6AF948B8" w14:textId="31F78C60" w:rsidR="007A1782" w:rsidRDefault="00C429AD" w:rsidP="007A1782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108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  <w:t>Ene</w:t>
                      </w:r>
                      <w:r w:rsidR="007A1782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  <w:t xml:space="preserve"> 2022</w:t>
                      </w:r>
                      <w:r w:rsidR="00A0468A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  <w:t xml:space="preserve">:  </w:t>
                      </w:r>
                      <w:r w:rsidR="00E96071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  <w:t>NIT: 4554009   F</w:t>
                      </w:r>
                      <w:r w:rsidR="007A1782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  <w:t>acturado: 18000</w:t>
                      </w:r>
                      <w:r w:rsidR="00A0468A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  <w:t>.00</w:t>
                      </w:r>
                      <w:r w:rsidR="007A1782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  <w:t xml:space="preserve">  </w:t>
                      </w:r>
                      <w:r w:rsidR="00E96071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  <w:t xml:space="preserve">  </w:t>
                      </w:r>
                      <w:r w:rsidR="006B72C2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  <w:t>IVA</w:t>
                      </w:r>
                      <w:r w:rsidR="007A1782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  <w:t>: 900</w:t>
                      </w:r>
                      <w:r w:rsidR="00A0468A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  <w:t>.00</w:t>
                      </w:r>
                    </w:p>
                    <w:p w14:paraId="7B623D24" w14:textId="77777777" w:rsidR="00E96071" w:rsidRDefault="00E96071" w:rsidP="006B72C2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108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F6D789F" w14:textId="0ABFF786" w:rsidR="00E96071" w:rsidRDefault="00C429AD" w:rsidP="00E9607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108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  <w:t>Feb</w:t>
                      </w:r>
                      <w:r w:rsidR="006B72C2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  <w:t xml:space="preserve"> 2022</w:t>
                      </w:r>
                      <w:r w:rsidR="00A0468A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</w:rPr>
                        <w:t xml:space="preserve">:  </w:t>
                      </w:r>
                      <w:r w:rsidR="00E96071" w:rsidRPr="00445923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lang w:val="pt-BR"/>
                        </w:rPr>
                        <w:t xml:space="preserve">NIT: </w:t>
                      </w:r>
                      <w:r w:rsidR="00445923" w:rsidRPr="00445923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lang w:val="pt-BR"/>
                        </w:rPr>
                        <w:t>5575220</w:t>
                      </w:r>
                      <w:r w:rsidR="00E96071" w:rsidRPr="00445923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lang w:val="pt-BR"/>
                        </w:rPr>
                        <w:t xml:space="preserve">  </w:t>
                      </w:r>
                      <w:r w:rsidR="00CB0305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lang w:val="pt-BR"/>
                        </w:rPr>
                        <w:t xml:space="preserve"> </w:t>
                      </w:r>
                      <w:r w:rsidR="00E96071" w:rsidRPr="00445923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lang w:val="pt-BR"/>
                        </w:rPr>
                        <w:t xml:space="preserve">Facturado: </w:t>
                      </w:r>
                      <w:r w:rsidR="00445923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lang w:val="pt-BR"/>
                        </w:rPr>
                        <w:t>3000</w:t>
                      </w:r>
                      <w:r w:rsidR="00A0468A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lang w:val="pt-BR"/>
                        </w:rPr>
                        <w:t>.00</w:t>
                      </w:r>
                      <w:r w:rsidR="00445923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lang w:val="pt-BR"/>
                        </w:rPr>
                        <w:t xml:space="preserve"> </w:t>
                      </w:r>
                      <w:r w:rsidR="00E96071" w:rsidRPr="00445923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lang w:val="pt-BR"/>
                        </w:rPr>
                        <w:t xml:space="preserve">    IVA: </w:t>
                      </w:r>
                      <w:r w:rsidR="00445923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lang w:val="pt-BR"/>
                        </w:rPr>
                        <w:t>150</w:t>
                      </w:r>
                      <w:r w:rsidR="00A0468A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lang w:val="pt-BR"/>
                        </w:rPr>
                        <w:t>.00</w:t>
                      </w:r>
                    </w:p>
                    <w:p w14:paraId="0561DEF5" w14:textId="77777777" w:rsidR="002B5619" w:rsidRDefault="002B5619" w:rsidP="00E9607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108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lang w:val="pt-BR"/>
                        </w:rPr>
                      </w:pPr>
                    </w:p>
                    <w:p w14:paraId="6F6C4644" w14:textId="0E0ABEC6" w:rsidR="002B5619" w:rsidRPr="00445923" w:rsidRDefault="002B5619" w:rsidP="00E9607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108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lang w:val="pt-BR"/>
                        </w:rPr>
                        <w:t>...</w:t>
                      </w:r>
                    </w:p>
                    <w:p w14:paraId="2C9F30ED" w14:textId="77777777" w:rsidR="006B72C2" w:rsidRPr="00445923" w:rsidRDefault="006B72C2" w:rsidP="007A1782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108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lang w:val="pt-BR"/>
                        </w:rPr>
                      </w:pPr>
                    </w:p>
                    <w:p w14:paraId="7867A085" w14:textId="77777777" w:rsidR="007A1782" w:rsidRPr="00445923" w:rsidRDefault="007A1782" w:rsidP="007A1782">
                      <w:pPr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445923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96071">
        <w:rPr>
          <w:color w:val="000000"/>
        </w:rPr>
        <w:br w:type="page"/>
      </w:r>
    </w:p>
    <w:p w14:paraId="7F96AAB5" w14:textId="25B97B40" w:rsidR="00F51FEF" w:rsidRPr="00F51FEF" w:rsidRDefault="00F51FEF" w:rsidP="00EB57D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b/>
          <w:bCs/>
          <w:color w:val="C00000"/>
        </w:rPr>
      </w:pPr>
      <w:r>
        <w:rPr>
          <w:b/>
          <w:bCs/>
          <w:color w:val="C00000"/>
          <w:highlight w:val="yellow"/>
        </w:rPr>
        <w:lastRenderedPageBreak/>
        <w:t>IMPORTANTE</w:t>
      </w:r>
      <w:r w:rsidRPr="00F51FEF">
        <w:rPr>
          <w:b/>
          <w:bCs/>
          <w:color w:val="C00000"/>
          <w:highlight w:val="yellow"/>
        </w:rPr>
        <w:t>: Por medio de comparadores y saltos, realizar el análisis del régimen fiscal al que la empresa se debe de apegar el siguiente año.</w:t>
      </w:r>
      <w:r w:rsidRPr="00F51FEF">
        <w:rPr>
          <w:b/>
          <w:bCs/>
          <w:color w:val="C00000"/>
        </w:rPr>
        <w:t xml:space="preserve"> </w:t>
      </w:r>
    </w:p>
    <w:p w14:paraId="7A6E96A8" w14:textId="77777777" w:rsidR="00F51FEF" w:rsidRDefault="00F51FEF" w:rsidP="00F51FE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</w:rPr>
      </w:pPr>
    </w:p>
    <w:p w14:paraId="7FCED882" w14:textId="35D2FE32" w:rsidR="009A1F40" w:rsidRDefault="00813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Analizar si el monto de facturación anual superó los Q150,000.00 y se de ser así, despliegue en pantalla un mensaje de aviso que indique que la empresa debe actualizar su régimen tributario a “IVA General”.</w:t>
      </w:r>
    </w:p>
    <w:p w14:paraId="3D54F1EE" w14:textId="77777777" w:rsidR="009A1F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Si la facturación anual no superó dicho monto, imprimir un mensaje que indique que para el siguiente periodo fiscal, la empresa puede continuar como “pequeño contribuyente”.</w:t>
      </w:r>
    </w:p>
    <w:sectPr w:rsidR="009A1F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55AF2" w14:textId="77777777" w:rsidR="00B020C4" w:rsidRDefault="00B020C4">
      <w:pPr>
        <w:spacing w:after="0" w:line="240" w:lineRule="auto"/>
      </w:pPr>
      <w:r>
        <w:separator/>
      </w:r>
    </w:p>
  </w:endnote>
  <w:endnote w:type="continuationSeparator" w:id="0">
    <w:p w14:paraId="43A713F6" w14:textId="77777777" w:rsidR="00B020C4" w:rsidRDefault="00B02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1FB3" w14:textId="77777777" w:rsidR="009A1F40" w:rsidRDefault="009A1F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2563" w14:textId="77777777" w:rsidR="009A1F40" w:rsidRDefault="009A1F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156FA" w14:textId="77777777" w:rsidR="009A1F40" w:rsidRDefault="009A1F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436C3" w14:textId="77777777" w:rsidR="00B020C4" w:rsidRDefault="00B020C4">
      <w:pPr>
        <w:spacing w:after="0" w:line="240" w:lineRule="auto"/>
      </w:pPr>
      <w:r>
        <w:separator/>
      </w:r>
    </w:p>
  </w:footnote>
  <w:footnote w:type="continuationSeparator" w:id="0">
    <w:p w14:paraId="5C1E5778" w14:textId="77777777" w:rsidR="00B020C4" w:rsidRDefault="00B02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C726" w14:textId="77777777" w:rsidR="009A1F40" w:rsidRDefault="009A1F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D3D34" w14:textId="77777777" w:rsidR="009A1F40" w:rsidRDefault="009A1F4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i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578"/>
      <w:gridCol w:w="7782"/>
    </w:tblGrid>
    <w:tr w:rsidR="009A1F40" w14:paraId="67EE125F" w14:textId="77777777">
      <w:trPr>
        <w:trHeight w:val="1133"/>
      </w:trPr>
      <w:tc>
        <w:tcPr>
          <w:tcW w:w="1578" w:type="dxa"/>
          <w:vAlign w:val="center"/>
        </w:tcPr>
        <w:p w14:paraId="2AC19B14" w14:textId="77777777" w:rsidR="009A1F40" w:rsidRDefault="00000000">
          <w:pPr>
            <w:rPr>
              <w:rFonts w:ascii="Tahoma" w:eastAsia="Tahoma" w:hAnsi="Tahoma" w:cs="Tahoma"/>
            </w:rPr>
          </w:pPr>
          <w:r>
            <w:rPr>
              <w:noProof/>
            </w:rPr>
            <w:drawing>
              <wp:inline distT="0" distB="0" distL="0" distR="0" wp14:anchorId="3A39850F" wp14:editId="4BB2736E">
                <wp:extent cx="822939" cy="747990"/>
                <wp:effectExtent l="0" t="0" r="0" b="0"/>
                <wp:docPr id="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939" cy="7479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82" w:type="dxa"/>
          <w:vAlign w:val="center"/>
        </w:tcPr>
        <w:p w14:paraId="60672807" w14:textId="77777777" w:rsidR="009A1F40" w:rsidRDefault="00000000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>Universidad del Valle de Guatemala</w:t>
          </w:r>
        </w:p>
        <w:p w14:paraId="7077859B" w14:textId="77777777" w:rsidR="009A1F40" w:rsidRDefault="00000000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>Facultad de Ingeniería</w:t>
          </w:r>
        </w:p>
        <w:p w14:paraId="344D8F2F" w14:textId="77777777" w:rsidR="009A1F40" w:rsidRDefault="00000000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>Departamento de Ciencias de la Computación</w:t>
          </w:r>
        </w:p>
        <w:p w14:paraId="1E7ACBED" w14:textId="77777777" w:rsidR="009A1F40" w:rsidRDefault="00000000">
          <w:pPr>
            <w:rPr>
              <w:rFonts w:ascii="Tahoma" w:eastAsia="Tahoma" w:hAnsi="Tahoma" w:cs="Tahoma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>CC3054 Organización de Computadoras y Assembler                                                                       Ciclo 1 de 2,023</w:t>
          </w:r>
        </w:p>
      </w:tc>
    </w:tr>
  </w:tbl>
  <w:p w14:paraId="3343A718" w14:textId="77777777" w:rsidR="009A1F40" w:rsidRDefault="009A1F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5EEF" w14:textId="77777777" w:rsidR="009A1F40" w:rsidRDefault="009A1F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DC4"/>
    <w:multiLevelType w:val="multilevel"/>
    <w:tmpl w:val="1DBE5EFA"/>
    <w:lvl w:ilvl="0">
      <w:start w:val="4647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0F5615"/>
    <w:multiLevelType w:val="multilevel"/>
    <w:tmpl w:val="745A42E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993320"/>
    <w:multiLevelType w:val="multilevel"/>
    <w:tmpl w:val="2682A6EA"/>
    <w:lvl w:ilvl="0">
      <w:start w:val="4647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DC4C62"/>
    <w:multiLevelType w:val="multilevel"/>
    <w:tmpl w:val="FC96B786"/>
    <w:lvl w:ilvl="0">
      <w:start w:val="4647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53204"/>
    <w:multiLevelType w:val="multilevel"/>
    <w:tmpl w:val="00F069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E46AF"/>
    <w:multiLevelType w:val="multilevel"/>
    <w:tmpl w:val="B3B814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A64D8"/>
    <w:multiLevelType w:val="multilevel"/>
    <w:tmpl w:val="FC3089C0"/>
    <w:lvl w:ilvl="0">
      <w:start w:val="4647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287EE6"/>
    <w:multiLevelType w:val="hybridMultilevel"/>
    <w:tmpl w:val="300A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866472">
    <w:abstractNumId w:val="6"/>
  </w:num>
  <w:num w:numId="2" w16cid:durableId="550843392">
    <w:abstractNumId w:val="2"/>
  </w:num>
  <w:num w:numId="3" w16cid:durableId="428307852">
    <w:abstractNumId w:val="5"/>
  </w:num>
  <w:num w:numId="4" w16cid:durableId="208152715">
    <w:abstractNumId w:val="3"/>
  </w:num>
  <w:num w:numId="5" w16cid:durableId="947200784">
    <w:abstractNumId w:val="4"/>
  </w:num>
  <w:num w:numId="6" w16cid:durableId="924605582">
    <w:abstractNumId w:val="1"/>
  </w:num>
  <w:num w:numId="7" w16cid:durableId="1645965087">
    <w:abstractNumId w:val="7"/>
  </w:num>
  <w:num w:numId="8" w16cid:durableId="33149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F40"/>
    <w:rsid w:val="00032C6A"/>
    <w:rsid w:val="00134A04"/>
    <w:rsid w:val="002216B1"/>
    <w:rsid w:val="00285953"/>
    <w:rsid w:val="002B35CA"/>
    <w:rsid w:val="002B5619"/>
    <w:rsid w:val="002C728A"/>
    <w:rsid w:val="003649EF"/>
    <w:rsid w:val="00366ACE"/>
    <w:rsid w:val="003A0A96"/>
    <w:rsid w:val="00413CD2"/>
    <w:rsid w:val="00445923"/>
    <w:rsid w:val="004D42DD"/>
    <w:rsid w:val="004E4103"/>
    <w:rsid w:val="0051526F"/>
    <w:rsid w:val="00520C72"/>
    <w:rsid w:val="00554CDC"/>
    <w:rsid w:val="00563498"/>
    <w:rsid w:val="005C03B7"/>
    <w:rsid w:val="006235AF"/>
    <w:rsid w:val="006510F8"/>
    <w:rsid w:val="006820BF"/>
    <w:rsid w:val="006B72C2"/>
    <w:rsid w:val="007A1782"/>
    <w:rsid w:val="0081384F"/>
    <w:rsid w:val="00886E44"/>
    <w:rsid w:val="009A1F40"/>
    <w:rsid w:val="00A0468A"/>
    <w:rsid w:val="00A75954"/>
    <w:rsid w:val="00AC4DBA"/>
    <w:rsid w:val="00B020C4"/>
    <w:rsid w:val="00B16BC0"/>
    <w:rsid w:val="00BA1F97"/>
    <w:rsid w:val="00C01FE3"/>
    <w:rsid w:val="00C04804"/>
    <w:rsid w:val="00C429AD"/>
    <w:rsid w:val="00C56AE6"/>
    <w:rsid w:val="00C827C7"/>
    <w:rsid w:val="00CB0305"/>
    <w:rsid w:val="00CE28F0"/>
    <w:rsid w:val="00CE51B9"/>
    <w:rsid w:val="00CE772B"/>
    <w:rsid w:val="00CF1E21"/>
    <w:rsid w:val="00D6535A"/>
    <w:rsid w:val="00DD7563"/>
    <w:rsid w:val="00E96071"/>
    <w:rsid w:val="00EB57DE"/>
    <w:rsid w:val="00EE7448"/>
    <w:rsid w:val="00F176CD"/>
    <w:rsid w:val="00F51FEF"/>
    <w:rsid w:val="00F7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19A3"/>
  <w15:docId w15:val="{39B572C0-39CF-49D1-ACBC-45EA49E5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5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1BC"/>
  </w:style>
  <w:style w:type="paragraph" w:styleId="Footer">
    <w:name w:val="footer"/>
    <w:basedOn w:val="Normal"/>
    <w:link w:val="FooterChar"/>
    <w:uiPriority w:val="99"/>
    <w:unhideWhenUsed/>
    <w:rsid w:val="0075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1BC"/>
  </w:style>
  <w:style w:type="paragraph" w:styleId="ListParagraph">
    <w:name w:val="List Paragraph"/>
    <w:basedOn w:val="Normal"/>
    <w:uiPriority w:val="34"/>
    <w:qFormat/>
    <w:rsid w:val="009249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0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A50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9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094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14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L8ggGf/I05RpNXGJohIH0xVZuQ==">AMUW2mXdfMaAGFld/xE/IcJuz04yFvwbykfsXWgcNTE9939M4LWmCaYs2HLiwcxSw/MFS1ry47fpAzz6Y9ZrGEz4iYmlrBr6D2hS4ACwG+FqaA94w5pboh4=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barrera</dc:creator>
  <cp:lastModifiedBy>kimberly barrera</cp:lastModifiedBy>
  <cp:revision>28</cp:revision>
  <dcterms:created xsi:type="dcterms:W3CDTF">2023-05-16T22:19:00Z</dcterms:created>
  <dcterms:modified xsi:type="dcterms:W3CDTF">2023-05-17T02:02:00Z</dcterms:modified>
</cp:coreProperties>
</file>