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285933" cy="428593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5933" cy="4285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180" w:before="0" w:line="26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Universidad Politécnica de Querétaro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140" w:before="0" w:line="26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Alumno: Joan Osvaldo Higuera Gallardo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140" w:before="0" w:line="26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Grupo: S201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300" w:before="0" w:line="26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>30 de Julio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10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50"/>
          <w:szCs w:val="50"/>
          <w:rtl w:val="0"/>
        </w:rPr>
        <w:t>Práctica No.21:</w:t>
        <w:br/>
        <w:t>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260" w:before="0" w:line="26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4"/>
          <w:szCs w:val="34"/>
          <w:rtl w:val="0"/>
        </w:rPr>
        <w:t>Parte 1: Ver detalle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0" w:before="0" w:line="26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8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160" w:before="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>Agregar a cada usuario de la pantalla Consulta una opción que permita abrir su información individual, enviando el identificador del registro a la ruta de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80" w:before="20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Descripción de la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spacing w:after="160" w:before="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>La Parte 1 consistió en modificar ConsultaUsuariosScreen.js para mostrar la acción Ver detalle dentro de cada tarjeta. Se utilizó Pressable para detectar el toque, se conservó el id del usuario seleccionado y se navegó a /detalle-usuario mediante Expo Router.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0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Desarrollo paso a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Se abrió el proyecto usuarioApi en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Se revisó ConsultaUsuariosScreen.js, donde FlatList construye la lista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Se importó Pressable desde react-native para crear una acción táctil dentro de cada tarjeta.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Se obtuvo el router de Expo Router para realizar la navegación.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Se creó verDetalle(id), función que abre /detalle-usuario y envía el id como parámetro.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Dentro de renderUsuario se agregó el botón Ver detalle para cada elemento de la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El evento onPress llama a verDetalle(item.id), conservando el usuario seleccionado.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Se definieron los estilos botonDetalle, textoDetalle, flecha y botonPresionado.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>Se ejecutó la aplicación y se comprobó que la acción aparece en cada tarjeta de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17" w:right="0" w:hanging="317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 En el teléfono se verificó el texto Ver detalle y la flecha azul en el extremo derecho.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80" w:before="20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 xml:space="preserve">Archivos modificados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spacing w:after="100" w:before="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>La implementación se concentra en ConsultaUsuariosScreen.js: importación de Pressable (líneas 2-10), función verDetalle (42-47), botón dentro de renderUsuario (64-75) y estilos botonDetalle/flecha (218-234).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spacing w:after="0" w:before="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1"/>
          <w:szCs w:val="21"/>
          <w:rtl w:val="0"/>
        </w:rPr>
        <w:t>Las siguientes capturas marcan los lugares del código utilizados en esta parte de la práctica.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>Evidencia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60" w:before="8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19"/>
          <w:szCs w:val="19"/>
          <w:rtl w:val="0"/>
        </w:rPr>
        <w:t>Captura 1. Lugares del código utilizados para importar y aplicar los estilos de Ver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jc w:val="center"/>
        <w:rPr/>
      </w:pPr>
      <w:r>
        <w:drawing>
          <wp:inline>
            <wp:extent cx="5806440" cy="3732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codigo-part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0">
      <w:pPr>
        <w:keepNext w:val="0"/>
        <w:spacing w:after="0" w:before="40" w:line="26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>Pressable habilita la interacción; botonDetalle alinea el texto y la flecha horizontalmente; flecha aplica el color azul, el tamaño y la separación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14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>Evidencias de funcionamiento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120" w:before="8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19"/>
          <w:szCs w:val="19"/>
          <w:rtl w:val="0"/>
        </w:rPr>
        <w:t>Captura 2. Apariencia esperada de la opción Ver detalles en la lista.</w:t>
      </w: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15.0" w:type="dxa"/>
        <w:tblLayout w:type="fixed"/>
        <w:tblLook w:val="0400"/>
      </w:tblPr>
      <w:tblGrid>
        <w:gridCol w:w="10152"/>
        <w:tblGridChange w:id="0">
          <w:tblGrid>
            <w:gridCol w:w="10152"/>
          </w:tblGrid>
        </w:tblGridChange>
      </w:tblGrid>
      <w:tr>
        <w:trPr>
          <w:cantSplit w:val="0"/>
          <w:trHeight w:hRule="atLeast"/>
          <w:tblHeader w:val="0"/>
        </w:trPr>
        <w:tc>
          <w:tcPr>
            <w:tcBorders>
              <w:top w:color="b9c2cf" w:space="0" w:sz="8" w:val="dashed"/>
              <w:left w:color="b9c2cf" w:space="0" w:sz="8" w:val="dashed"/>
              <w:bottom w:color="b9c2cf" w:space="0" w:sz="8" w:val="dashed"/>
              <w:right w:color="b9c2cf" w:space="0" w:sz="8" w:val="dashed"/>
            </w:tcBorders>
            <w:shd w:fill="f2f4f7" w:val="clear"/>
            <w:tcMar>
              <w:top w:w="220.0" w:type="dxa"/>
              <w:bottom w:w="2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 w:before="0"/>
              <w:jc w:val="center"/>
              <w:rPr/>
            </w:pPr>
            <w:r>
              <w:drawing>
                <wp:inline>
                  <wp:extent cx="2788920" cy="228600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erencia-ver-detall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286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6">
      <w:pPr>
        <w:keepNext w:val="1"/>
        <w:spacing w:after="120" w:before="8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19"/>
          <w:szCs w:val="19"/>
          <w:rtl w:val="0"/>
        </w:rPr>
        <w:t>Captura 3. La Parte 1 reflejada en la pestaña Consulta de la aplicación.</w:t>
      </w:r>
      <w:r w:rsidDel="00000000" w:rsidR="00000000" w:rsidRPr="00000000">
        <w:rPr>
          <w:rtl w:val="0"/>
        </w:rPr>
      </w:r>
    </w:p>
    <w:tbl>
      <w:tblPr>
        <w:tblStyle w:val="Table2"/>
        <w:tblW w:w="10152.0" w:type="dxa"/>
        <w:jc w:val="left"/>
        <w:tblInd w:w="-115.0" w:type="dxa"/>
        <w:tblLayout w:type="fixed"/>
        <w:tblLook w:val="0400"/>
      </w:tblPr>
      <w:tblGrid>
        <w:gridCol w:w="10152"/>
        <w:tblGridChange w:id="0">
          <w:tblGrid>
            <w:gridCol w:w="10152"/>
          </w:tblGrid>
        </w:tblGridChange>
      </w:tblGrid>
      <w:tr>
        <w:trPr>
          <w:cantSplit w:val="0"/>
          <w:trHeight w:hRule="atLeast"/>
          <w:tblHeader w:val="0"/>
        </w:trPr>
        <w:tc>
          <w:tcPr>
            <w:tcBorders>
              <w:top w:color="b9c2cf" w:space="0" w:sz="8" w:val="dashed"/>
              <w:left w:color="b9c2cf" w:space="0" w:sz="8" w:val="dashed"/>
              <w:bottom w:color="b9c2cf" w:space="0" w:sz="8" w:val="dashed"/>
              <w:right w:color="b9c2cf" w:space="0" w:sz="8" w:val="dashed"/>
            </w:tcBorders>
            <w:shd w:fill="f2f4f7" w:val="clear"/>
            <w:tcMar>
              <w:top w:w="220.0" w:type="dxa"/>
              <w:bottom w:w="2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 w:before="0"/>
              <w:jc w:val="center"/>
              <w:rPr/>
            </w:pPr>
            <w:r>
              <w:drawing>
                <wp:inline>
                  <wp:extent cx="3794760" cy="27406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licacion-ver-detal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2740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9">
      <w:pPr>
        <w:keepNext w:val="1"/>
        <w:spacing w:after="80" w:before="20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2"/>
          <w:szCs w:val="32"/>
          <w:rtl w:val="0"/>
        </w:rPr>
        <w:t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spacing w:after="100" w:before="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>La Parte 1 quedó implementada mediante Pressable dentro de renderUsuario. FlatList repite la acción para cada registro y onPress utiliza item.id para abrir el detalle correcto. Visualmente, el cambio se identifica por el texto Ver detalle y la flecha azul ubicados a la derecha de cada tarjeta.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spacing w:after="0" w:before="0" w:line="26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>Proyecto: usuarioApi | Archivo principal: screens/ConsultaUsuariosScreen.js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footerReference r:id="rId10" w:type="even"/>
      <w:pgSz w:h="15840" w:w="12240" w:orient="portrait"/>
      <w:pgMar w:bottom="835" w:top="893" w:left="1008" w:right="1008" w:header="432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d7491"/>
        <w:sz w:val="16"/>
        <w:szCs w:val="16"/>
        <w:u w:val="none"/>
        <w:shd w:fill="auto" w:val="clear"/>
        <w:vertAlign w:val="baseline"/>
        <w:rtl w:val="0"/>
      </w:rPr>
      <w:t>Práctica 21 - Navigation | Parte 1: Ver detalle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d7491"/>
        <w:sz w:val="16"/>
        <w:szCs w:val="16"/>
        <w:u w:val="none"/>
        <w:shd w:fill="auto" w:val="clear"/>
        <w:vertAlign w:val="baseline"/>
        <w:rtl w:val="0"/>
      </w:rPr>
      <w:t>Práctica 21 - Navigation | Parte 1: Ver detalle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d7491"/>
        <w:sz w:val="16"/>
        <w:szCs w:val="16"/>
        <w:u w:val="none"/>
        <w:shd w:fill="auto" w:val="clear"/>
        <w:vertAlign w:val="baseline"/>
        <w:rtl w:val="0"/>
      </w:rPr>
      <w:t>Práctica 21 - Navigation | Parte 1: Ver detalle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