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A7FB5" w14:textId="77777777" w:rsidR="00550829" w:rsidRDefault="00000000"/>
    <w:p w14:paraId="7D19AB7C" w14:textId="24931BD2" w:rsidR="00A93F31" w:rsidRPr="00F262A4" w:rsidRDefault="00A93F31" w:rsidP="00F262A4">
      <w:pPr>
        <w:spacing w:after="0"/>
        <w:jc w:val="center"/>
        <w:rPr>
          <w:b/>
          <w:bCs/>
        </w:rPr>
      </w:pPr>
      <w:r w:rsidRPr="00F262A4">
        <w:rPr>
          <w:b/>
          <w:bCs/>
        </w:rPr>
        <w:t>Quiz1: Re</w:t>
      </w:r>
      <w:r w:rsidR="00F262A4" w:rsidRPr="00F262A4">
        <w:rPr>
          <w:b/>
          <w:bCs/>
        </w:rPr>
        <w:t>fresher</w:t>
      </w:r>
      <w:r w:rsidRPr="00F262A4">
        <w:rPr>
          <w:b/>
          <w:bCs/>
        </w:rPr>
        <w:t>s</w:t>
      </w:r>
    </w:p>
    <w:p w14:paraId="65D1DB7B" w14:textId="77777777" w:rsidR="00A93F31" w:rsidRDefault="00A93F31"/>
    <w:p w14:paraId="5C685FDA" w14:textId="77F4D1DE" w:rsidR="00A93F31" w:rsidRDefault="00A93F31" w:rsidP="00A93F31">
      <w:pPr>
        <w:pStyle w:val="ListParagraph"/>
        <w:numPr>
          <w:ilvl w:val="0"/>
          <w:numId w:val="1"/>
        </w:numPr>
      </w:pPr>
      <w:r w:rsidRPr="00F262A4">
        <w:rPr>
          <w:b/>
          <w:bCs/>
        </w:rPr>
        <w:t>SI units</w:t>
      </w:r>
      <w:r>
        <w:t>: in your calculations, ensure that the values of the parameters are on matching units. For example, in the Electric Force equation:</w:t>
      </w:r>
    </w:p>
    <w:p w14:paraId="2D48E760" w14:textId="6218E5B6" w:rsidR="00A93F31" w:rsidRDefault="00A93F31" w:rsidP="00A93F31">
      <w:pPr>
        <w:pStyle w:val="ListParagraph"/>
      </w:pPr>
      <w:r w:rsidRPr="00A93F31">
        <w:object w:dxaOrig="2400" w:dyaOrig="972" w14:anchorId="46486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8.5pt" o:ole="">
            <v:imagedata r:id="rId5" o:title=""/>
          </v:shape>
          <o:OLEObject Type="Embed" ProgID="Unknown" ShapeID="_x0000_i1025" DrawAspect="Content" ObjectID="_1766580297" r:id="rId6"/>
        </w:object>
      </w:r>
    </w:p>
    <w:p w14:paraId="2009661B" w14:textId="616B0EE2" w:rsidR="00A93F31" w:rsidRDefault="00A93F31" w:rsidP="00A93F31">
      <w:pPr>
        <w:pStyle w:val="ListParagraph"/>
      </w:pPr>
      <w:r>
        <w:t xml:space="preserve"> </w:t>
      </w:r>
      <w:proofErr w:type="spellStart"/>
      <w:r>
        <w:t>Ke</w:t>
      </w:r>
      <w:proofErr w:type="spellEnd"/>
      <w:r>
        <w:t xml:space="preserve">= </w:t>
      </w:r>
      <w:r w:rsidRPr="00A93F31">
        <w:t xml:space="preserve"> 8.9876 x 10</w:t>
      </w:r>
      <w:r w:rsidRPr="00A93F31">
        <w:rPr>
          <w:vertAlign w:val="superscript"/>
        </w:rPr>
        <w:t>9</w:t>
      </w:r>
      <w:r w:rsidRPr="00A93F31">
        <w:t xml:space="preserve"> N</w:t>
      </w:r>
      <w:r w:rsidRPr="00A93F31">
        <w:rPr>
          <w:vertAlign w:val="superscript"/>
        </w:rPr>
        <w:t>.</w:t>
      </w:r>
      <w:r w:rsidRPr="00A93F31">
        <w:t>m</w:t>
      </w:r>
      <w:r w:rsidRPr="00A93F31">
        <w:rPr>
          <w:vertAlign w:val="superscript"/>
        </w:rPr>
        <w:t>2</w:t>
      </w:r>
      <w:r w:rsidRPr="00A93F31">
        <w:t>/C</w:t>
      </w:r>
      <w:r w:rsidRPr="00A93F31">
        <w:rPr>
          <w:vertAlign w:val="superscript"/>
        </w:rPr>
        <w:t>2</w:t>
      </w:r>
      <w:r>
        <w:t xml:space="preserve">. To calculate the value of the force in Newton(N) using the given value  of </w:t>
      </w:r>
      <w:proofErr w:type="spellStart"/>
      <w:r>
        <w:t>Ke</w:t>
      </w:r>
      <w:proofErr w:type="spellEnd"/>
      <w:r>
        <w:t xml:space="preserve">, ensure that the values of qi are in </w:t>
      </w:r>
      <w:r w:rsidR="00F262A4">
        <w:t>Coulombs</w:t>
      </w:r>
      <w:r>
        <w:t xml:space="preserve"> and those of</w:t>
      </w:r>
      <w:r w:rsidRPr="00F262A4">
        <w:rPr>
          <w:i/>
          <w:iCs/>
        </w:rPr>
        <w:t xml:space="preserve"> r</w:t>
      </w:r>
      <w:r>
        <w:t xml:space="preserve"> in meters. For instance, if </w:t>
      </w:r>
      <w:r w:rsidR="001F2634">
        <w:t xml:space="preserve">in the question, </w:t>
      </w:r>
      <w:r>
        <w:t xml:space="preserve">the value of </w:t>
      </w:r>
      <w:r w:rsidRPr="00F262A4">
        <w:rPr>
          <w:i/>
          <w:iCs/>
        </w:rPr>
        <w:t>r</w:t>
      </w:r>
      <w:r>
        <w:t xml:space="preserve"> is given in c</w:t>
      </w:r>
      <w:r w:rsidR="001F2634">
        <w:t xml:space="preserve">entimeter, </w:t>
      </w:r>
      <w:r>
        <w:t xml:space="preserve"> convert it to meter in Eq.(1) calculation. For the values of the meter prefixes, </w:t>
      </w:r>
      <w:r w:rsidR="00F262A4">
        <w:t>e.g.,</w:t>
      </w:r>
      <w:r>
        <w:t xml:space="preserve"> nano, please refer to </w:t>
      </w:r>
      <w:hyperlink r:id="rId7" w:history="1">
        <w:r w:rsidR="001F2634" w:rsidRPr="00751131">
          <w:rPr>
            <w:rStyle w:val="Hyperlink"/>
          </w:rPr>
          <w:t>https://abacus.bates.edu/acad/depts/biobook/Metric.htm</w:t>
        </w:r>
      </w:hyperlink>
    </w:p>
    <w:p w14:paraId="70A3AFA8" w14:textId="6326D2BC" w:rsidR="001F2634" w:rsidRDefault="001F2634" w:rsidP="001F2634">
      <w:pPr>
        <w:pStyle w:val="ListParagraph"/>
        <w:numPr>
          <w:ilvl w:val="0"/>
          <w:numId w:val="1"/>
        </w:numPr>
      </w:pPr>
      <w:r w:rsidRPr="00F262A4">
        <w:rPr>
          <w:b/>
          <w:bCs/>
        </w:rPr>
        <w:t>Continuous Charge distribution</w:t>
      </w:r>
      <w:r>
        <w:t xml:space="preserve"> (reference pp 52-56 of Chapter 23): for uniform/even charge</w:t>
      </w:r>
      <w:r w:rsidR="00F262A4">
        <w:t>d</w:t>
      </w:r>
      <w:r>
        <w:t xml:space="preserve"> distribution, the charge densities are constant and can be calculated as given in slide 54.</w:t>
      </w:r>
    </w:p>
    <w:p w14:paraId="07D12894" w14:textId="35556ABA" w:rsidR="001F2634" w:rsidRDefault="001F2634" w:rsidP="001F2634">
      <w:pPr>
        <w:pStyle w:val="ListParagraph"/>
      </w:pPr>
      <w:r>
        <w:t xml:space="preserve">For non-unform charge distribution, the charge densities are NOT constant. Then (see slide 55), </w:t>
      </w:r>
    </w:p>
    <w:p w14:paraId="42615D95" w14:textId="636F5FF2" w:rsidR="001F2634" w:rsidRPr="001F2634" w:rsidRDefault="001F2634" w:rsidP="001F2634">
      <w:pPr>
        <w:pStyle w:val="ListParagraph"/>
      </w:pPr>
      <w:r w:rsidRPr="001F2634">
        <w:rPr>
          <w:b/>
          <w:bCs/>
        </w:rPr>
        <w:t xml:space="preserve">the amount of </w:t>
      </w:r>
      <w:r w:rsidR="009727A6">
        <w:rPr>
          <w:b/>
          <w:bCs/>
        </w:rPr>
        <w:t xml:space="preserve">particle </w:t>
      </w:r>
      <w:r w:rsidRPr="001F2634">
        <w:rPr>
          <w:b/>
          <w:bCs/>
        </w:rPr>
        <w:t xml:space="preserve">charge, </w:t>
      </w:r>
      <w:proofErr w:type="spellStart"/>
      <w:r w:rsidRPr="001F2634">
        <w:rPr>
          <w:b/>
          <w:bCs/>
          <w:i/>
          <w:iCs/>
        </w:rPr>
        <w:t>dq</w:t>
      </w:r>
      <w:proofErr w:type="spellEnd"/>
      <w:r w:rsidRPr="001F2634">
        <w:rPr>
          <w:b/>
          <w:bCs/>
        </w:rPr>
        <w:t xml:space="preserve"> is given by</w:t>
      </w:r>
      <w:r w:rsidR="00F262A4">
        <w:rPr>
          <w:b/>
          <w:bCs/>
        </w:rPr>
        <w:t>:</w:t>
      </w:r>
    </w:p>
    <w:p w14:paraId="2C4FFE03" w14:textId="44620F05" w:rsidR="001F2634" w:rsidRPr="001F2634" w:rsidRDefault="001F2634" w:rsidP="001F2634">
      <w:pPr>
        <w:pStyle w:val="ListParagraph"/>
        <w:numPr>
          <w:ilvl w:val="1"/>
          <w:numId w:val="2"/>
        </w:numPr>
      </w:pPr>
      <w:r w:rsidRPr="001F2634">
        <w:t>For the volume</w:t>
      </w:r>
      <w:r>
        <w:t xml:space="preserve"> charge distribution</w:t>
      </w:r>
      <w:r w:rsidRPr="001F2634">
        <w:t xml:space="preserve">: </w:t>
      </w:r>
      <w:proofErr w:type="spellStart"/>
      <w:r w:rsidRPr="001F2634">
        <w:rPr>
          <w:i/>
          <w:iCs/>
        </w:rPr>
        <w:t>dq</w:t>
      </w:r>
      <w:proofErr w:type="spellEnd"/>
      <w:r w:rsidRPr="001F2634">
        <w:t xml:space="preserve"> = </w:t>
      </w:r>
      <w:r w:rsidRPr="001F2634">
        <w:rPr>
          <w:i/>
          <w:iCs/>
        </w:rPr>
        <w:t>ρ</w:t>
      </w:r>
      <w:r w:rsidRPr="001F2634">
        <w:t xml:space="preserve"> </w:t>
      </w:r>
      <w:proofErr w:type="spellStart"/>
      <w:r w:rsidRPr="001F2634">
        <w:rPr>
          <w:i/>
          <w:iCs/>
        </w:rPr>
        <w:t>dV</w:t>
      </w:r>
      <w:proofErr w:type="spellEnd"/>
    </w:p>
    <w:p w14:paraId="13D08D9D" w14:textId="1BCF065E" w:rsidR="001F2634" w:rsidRPr="001F2634" w:rsidRDefault="001F2634" w:rsidP="001F2634">
      <w:pPr>
        <w:pStyle w:val="ListParagraph"/>
        <w:numPr>
          <w:ilvl w:val="1"/>
          <w:numId w:val="2"/>
        </w:numPr>
      </w:pPr>
      <w:r w:rsidRPr="001F2634">
        <w:t>For the surface</w:t>
      </w:r>
      <w:r>
        <w:t xml:space="preserve"> charge distribution</w:t>
      </w:r>
      <w:r w:rsidRPr="001F2634">
        <w:t xml:space="preserve">: </w:t>
      </w:r>
      <w:proofErr w:type="spellStart"/>
      <w:r w:rsidRPr="001F2634">
        <w:rPr>
          <w:i/>
          <w:iCs/>
        </w:rPr>
        <w:t>dq</w:t>
      </w:r>
      <w:proofErr w:type="spellEnd"/>
      <w:r w:rsidRPr="001F2634">
        <w:t xml:space="preserve"> = </w:t>
      </w:r>
      <w:r w:rsidRPr="001F2634">
        <w:rPr>
          <w:i/>
          <w:iCs/>
        </w:rPr>
        <w:t>σ</w:t>
      </w:r>
      <w:r w:rsidRPr="001F2634">
        <w:t xml:space="preserve"> </w:t>
      </w:r>
      <w:proofErr w:type="spellStart"/>
      <w:r w:rsidRPr="001F2634">
        <w:rPr>
          <w:i/>
          <w:iCs/>
        </w:rPr>
        <w:t>dA</w:t>
      </w:r>
      <w:proofErr w:type="spellEnd"/>
    </w:p>
    <w:p w14:paraId="09EB2112" w14:textId="42D56F51" w:rsidR="001F2634" w:rsidRDefault="001F2634" w:rsidP="001F2634">
      <w:pPr>
        <w:pStyle w:val="ListParagraph"/>
        <w:numPr>
          <w:ilvl w:val="1"/>
          <w:numId w:val="2"/>
        </w:numPr>
      </w:pPr>
      <w:r w:rsidRPr="001F2634">
        <w:t xml:space="preserve">For the length element: </w:t>
      </w:r>
      <w:proofErr w:type="spellStart"/>
      <w:r w:rsidRPr="001F2634">
        <w:rPr>
          <w:i/>
          <w:iCs/>
        </w:rPr>
        <w:t>dq</w:t>
      </w:r>
      <w:proofErr w:type="spellEnd"/>
      <w:r w:rsidRPr="001F2634">
        <w:t xml:space="preserve"> = </w:t>
      </w:r>
      <w:r w:rsidRPr="001F2634">
        <w:rPr>
          <w:i/>
          <w:iCs/>
        </w:rPr>
        <w:t>λ dℓ</w:t>
      </w:r>
    </w:p>
    <w:p w14:paraId="3816E9E3" w14:textId="77777777" w:rsidR="001F2634" w:rsidRDefault="001F2634" w:rsidP="001F2634">
      <w:pPr>
        <w:pStyle w:val="ListParagraph"/>
      </w:pPr>
    </w:p>
    <w:p w14:paraId="315DA307" w14:textId="77777777" w:rsidR="00F262A4" w:rsidRDefault="009727A6" w:rsidP="001F2634">
      <w:pPr>
        <w:pStyle w:val="ListParagraph"/>
      </w:pPr>
      <w:r>
        <w:t xml:space="preserve">To calculate the total charge of the material, you need to calculate the integral of </w:t>
      </w:r>
      <w:proofErr w:type="spellStart"/>
      <w:r w:rsidRPr="00F262A4">
        <w:rPr>
          <w:i/>
          <w:iCs/>
        </w:rPr>
        <w:t>dq</w:t>
      </w:r>
      <w:proofErr w:type="spellEnd"/>
      <w:r>
        <w:t xml:space="preserve"> over the </w:t>
      </w:r>
      <w:r w:rsidR="00F262A4">
        <w:t>surface of</w:t>
      </w:r>
      <w:r>
        <w:t xml:space="preserve"> the material</w:t>
      </w:r>
      <w:r w:rsidR="00F262A4">
        <w:t>;</w:t>
      </w:r>
      <w:r>
        <w:t xml:space="preserve"> in this regard</w:t>
      </w:r>
      <w:r w:rsidR="00F262A4">
        <w:t>,</w:t>
      </w:r>
      <w:r>
        <w:t xml:space="preserve"> the  symbolic expression of the charge density is often given in the question. </w:t>
      </w:r>
    </w:p>
    <w:p w14:paraId="12ACA1C0" w14:textId="3B94A29F" w:rsidR="001F2634" w:rsidRDefault="009727A6" w:rsidP="001F2634">
      <w:pPr>
        <w:pStyle w:val="ListParagraph"/>
      </w:pPr>
      <w:r>
        <w:t xml:space="preserve">The choice of the material section containing </w:t>
      </w:r>
      <w:proofErr w:type="spellStart"/>
      <w:r w:rsidRPr="00F262A4">
        <w:rPr>
          <w:i/>
          <w:iCs/>
        </w:rPr>
        <w:t>dq</w:t>
      </w:r>
      <w:proofErr w:type="spellEnd"/>
      <w:r w:rsidRPr="00F262A4">
        <w:rPr>
          <w:i/>
          <w:iCs/>
        </w:rPr>
        <w:t xml:space="preserve"> </w:t>
      </w:r>
      <w:r>
        <w:t>should be wisely chosen. It is obvious for a 1 D shape</w:t>
      </w:r>
      <w:r w:rsidR="00F262A4">
        <w:t>;</w:t>
      </w:r>
      <w:r>
        <w:t xml:space="preserve"> for 2D and 3D shapes,</w:t>
      </w:r>
      <w:r w:rsidR="00F262A4">
        <w:t xml:space="preserve"> please</w:t>
      </w:r>
      <w:r>
        <w:t xml:space="preserve"> refer to the example</w:t>
      </w:r>
      <w:r w:rsidR="00F262A4">
        <w:t>s</w:t>
      </w:r>
      <w:r>
        <w:t xml:space="preserve"> </w:t>
      </w:r>
      <w:r w:rsidR="00F262A4">
        <w:t xml:space="preserve">given </w:t>
      </w:r>
      <w:r>
        <w:t>chapter 23</w:t>
      </w:r>
      <w:r w:rsidR="00F262A4">
        <w:t xml:space="preserve"> slides 59-62</w:t>
      </w:r>
      <w:r>
        <w:t xml:space="preserve">; for </w:t>
      </w:r>
      <w:r w:rsidR="00F262A4">
        <w:t>instance,</w:t>
      </w:r>
      <w:r>
        <w:t xml:space="preserve"> in slide 62, </w:t>
      </w:r>
      <w:proofErr w:type="spellStart"/>
      <w:r>
        <w:t>dA</w:t>
      </w:r>
      <w:proofErr w:type="spellEnd"/>
      <w:r>
        <w:t xml:space="preserve">=2.PI.r.dr, </w:t>
      </w:r>
      <w:proofErr w:type="gramStart"/>
      <w:r>
        <w:t>i.e.</w:t>
      </w:r>
      <w:proofErr w:type="gramEnd"/>
      <w:r>
        <w:t xml:space="preserve"> the perimeter of a ring times its thickness which is assumed to be </w:t>
      </w:r>
      <w:r w:rsidR="00F262A4">
        <w:t>infinitesimal</w:t>
      </w:r>
      <w:r>
        <w:t>.</w:t>
      </w:r>
    </w:p>
    <w:p w14:paraId="181FB0F1" w14:textId="77777777" w:rsidR="001F2634" w:rsidRDefault="001F2634" w:rsidP="001F2634">
      <w:pPr>
        <w:pStyle w:val="ListParagraph"/>
      </w:pPr>
    </w:p>
    <w:p w14:paraId="03A8672B" w14:textId="6E4AB172" w:rsidR="001F2634" w:rsidRPr="00F262A4" w:rsidRDefault="001F2634" w:rsidP="001F2634">
      <w:pPr>
        <w:pStyle w:val="ListParagraph"/>
        <w:numPr>
          <w:ilvl w:val="0"/>
          <w:numId w:val="1"/>
        </w:numPr>
      </w:pPr>
      <w:r>
        <w:t xml:space="preserve">As indicated in slide 15 of Chapter 24, </w:t>
      </w:r>
      <w:r w:rsidRPr="001F2634">
        <w:t xml:space="preserve">The </w:t>
      </w:r>
      <w:r w:rsidRPr="001F2634">
        <w:rPr>
          <w:b/>
          <w:bCs/>
        </w:rPr>
        <w:t xml:space="preserve">net flux through </w:t>
      </w:r>
      <w:r w:rsidRPr="001F2634">
        <w:rPr>
          <w:b/>
          <w:bCs/>
          <w:u w:val="single"/>
        </w:rPr>
        <w:t xml:space="preserve">any closed </w:t>
      </w:r>
      <w:r w:rsidRPr="001F2634">
        <w:rPr>
          <w:b/>
          <w:bCs/>
        </w:rPr>
        <w:t xml:space="preserve">surface surrounding a point charge, </w:t>
      </w:r>
      <w:r w:rsidRPr="001F2634">
        <w:rPr>
          <w:b/>
          <w:bCs/>
          <w:i/>
          <w:iCs/>
        </w:rPr>
        <w:t>q</w:t>
      </w:r>
      <w:r w:rsidRPr="001F2634">
        <w:rPr>
          <w:b/>
          <w:bCs/>
        </w:rPr>
        <w:t xml:space="preserve">, is given by </w:t>
      </w:r>
      <w:r w:rsidRPr="001F2634">
        <w:rPr>
          <w:b/>
          <w:bCs/>
          <w:i/>
          <w:iCs/>
        </w:rPr>
        <w:t>q</w:t>
      </w:r>
      <w:r w:rsidRPr="001F2634">
        <w:rPr>
          <w:b/>
          <w:bCs/>
        </w:rPr>
        <w:t>/</w:t>
      </w:r>
      <w:proofErr w:type="spellStart"/>
      <w:r w:rsidRPr="001F2634">
        <w:rPr>
          <w:b/>
          <w:bCs/>
          <w:i/>
          <w:iCs/>
        </w:rPr>
        <w:t>ε</w:t>
      </w:r>
      <w:r w:rsidRPr="001F2634">
        <w:rPr>
          <w:b/>
          <w:bCs/>
          <w:vertAlign w:val="subscript"/>
        </w:rPr>
        <w:t>o</w:t>
      </w:r>
      <w:proofErr w:type="spellEnd"/>
      <w:r w:rsidRPr="001F2634">
        <w:rPr>
          <w:b/>
          <w:bCs/>
        </w:rPr>
        <w:t xml:space="preserve"> and </w:t>
      </w:r>
      <w:r w:rsidRPr="001F2634">
        <w:rPr>
          <w:b/>
          <w:bCs/>
          <w:u w:val="single"/>
        </w:rPr>
        <w:t>is independent of the shape of that surface</w:t>
      </w:r>
      <w:r>
        <w:rPr>
          <w:b/>
          <w:bCs/>
          <w:u w:val="single"/>
        </w:rPr>
        <w:t xml:space="preserve"> or its dimensions. What matters is the aggregate (signed sum) of the enclosed </w:t>
      </w:r>
      <w:proofErr w:type="spellStart"/>
      <w:r>
        <w:rPr>
          <w:b/>
          <w:bCs/>
          <w:u w:val="single"/>
        </w:rPr>
        <w:t>chargeS</w:t>
      </w:r>
      <w:proofErr w:type="spellEnd"/>
      <w:r>
        <w:rPr>
          <w:b/>
          <w:bCs/>
          <w:u w:val="single"/>
        </w:rPr>
        <w:t xml:space="preserve"> including those on the surface, not the shape or dimensions of the closed surface.</w:t>
      </w:r>
    </w:p>
    <w:p w14:paraId="4C29BCD4" w14:textId="77777777" w:rsidR="00F262A4" w:rsidRPr="009727A6" w:rsidRDefault="00F262A4" w:rsidP="00F262A4">
      <w:pPr>
        <w:pStyle w:val="ListParagraph"/>
      </w:pPr>
    </w:p>
    <w:p w14:paraId="5CCC9403" w14:textId="10BCF886" w:rsidR="009727A6" w:rsidRDefault="009727A6" w:rsidP="001F2634">
      <w:pPr>
        <w:pStyle w:val="ListParagraph"/>
        <w:numPr>
          <w:ilvl w:val="0"/>
          <w:numId w:val="1"/>
        </w:numPr>
      </w:pPr>
      <w:r w:rsidRPr="009727A6">
        <w:t xml:space="preserve">As explained in slide 23 of chapter 25; if the electric field is constant through the surface of </w:t>
      </w:r>
      <w:r w:rsidR="00F262A4">
        <w:t xml:space="preserve"> the </w:t>
      </w:r>
      <w:r w:rsidRPr="009727A6">
        <w:t xml:space="preserve">integration, we can remove it from the closed integral </w:t>
      </w:r>
      <w:r w:rsidR="00F262A4">
        <w:t xml:space="preserve">expression </w:t>
      </w:r>
      <w:r w:rsidRPr="009727A6">
        <w:t>while calculating the net flux. Recall</w:t>
      </w:r>
      <w:r w:rsidR="00F262A4">
        <w:t xml:space="preserve"> </w:t>
      </w:r>
      <w:r w:rsidRPr="009727A6">
        <w:t>that the Electric field depends solely on the source charge and its distance to the point of interest</w:t>
      </w:r>
      <w:r w:rsidR="00F262A4">
        <w:t>(P)</w:t>
      </w:r>
    </w:p>
    <w:p w14:paraId="5D11B0F4" w14:textId="77777777" w:rsidR="00F262A4" w:rsidRDefault="00F262A4" w:rsidP="00F262A4">
      <w:pPr>
        <w:pStyle w:val="ListParagraph"/>
      </w:pPr>
    </w:p>
    <w:p w14:paraId="21EE61BE" w14:textId="7632E54F" w:rsidR="009727A6" w:rsidRPr="009727A6" w:rsidRDefault="009727A6" w:rsidP="009727A6">
      <w:pPr>
        <w:pStyle w:val="ListParagraph"/>
        <w:numPr>
          <w:ilvl w:val="0"/>
          <w:numId w:val="1"/>
        </w:numPr>
      </w:pPr>
      <w:r>
        <w:t>As indicated in  slide 67 of chapter 23, t</w:t>
      </w:r>
      <w:r w:rsidRPr="009727A6">
        <w:rPr>
          <w:b/>
          <w:bCs/>
        </w:rPr>
        <w:t>he number of lines drawn leaving a positive charge or approaching a negative charge is proportional to the magnitude of the charge.</w:t>
      </w:r>
    </w:p>
    <w:p w14:paraId="203C9206" w14:textId="5128842C" w:rsidR="001F2634" w:rsidRDefault="001F2634" w:rsidP="009727A6">
      <w:pPr>
        <w:pStyle w:val="ListParagraph"/>
      </w:pPr>
    </w:p>
    <w:sectPr w:rsidR="001F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8440E"/>
    <w:multiLevelType w:val="hybridMultilevel"/>
    <w:tmpl w:val="B4C8D234"/>
    <w:lvl w:ilvl="0" w:tplc="99A28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2AB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84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2E8B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20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E1D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2F6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9868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2F3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A135E"/>
    <w:multiLevelType w:val="hybridMultilevel"/>
    <w:tmpl w:val="9C48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039796">
    <w:abstractNumId w:val="1"/>
  </w:num>
  <w:num w:numId="2" w16cid:durableId="1727991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31"/>
    <w:rsid w:val="001F2634"/>
    <w:rsid w:val="0035222F"/>
    <w:rsid w:val="00765B68"/>
    <w:rsid w:val="0089167F"/>
    <w:rsid w:val="009727A6"/>
    <w:rsid w:val="009864FC"/>
    <w:rsid w:val="00A93F31"/>
    <w:rsid w:val="00F2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A5BE"/>
  <w15:chartTrackingRefBased/>
  <w15:docId w15:val="{1B5B6BF1-38A9-425C-9C72-0DF607DC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6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2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7289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378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acus.bates.edu/acad/depts/biobook/Metri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1</cp:revision>
  <dcterms:created xsi:type="dcterms:W3CDTF">2024-01-12T11:21:00Z</dcterms:created>
  <dcterms:modified xsi:type="dcterms:W3CDTF">2024-01-12T11:59:00Z</dcterms:modified>
</cp:coreProperties>
</file>