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Análisis de indicadores — Salarios y Exportaciones</w:t>
      </w:r>
    </w:p>
    <w:p>
      <w:r>
        <w:t>Versión corta para revisión (estilo empleo/informalidad): pregunta, metodología breve, último dato, pocos gráficos y ficha. Salarios actualizados con X-13 + índice real (ene-2025 = 100). Exportaciones: se mantiene índice 2015 = 100.</w:t>
      </w:r>
    </w:p>
    <w:p>
      <w:pPr>
        <w:pStyle w:val="Heading1"/>
      </w:pPr>
      <w:r>
        <w:t>Salarios</w:t>
      </w:r>
    </w:p>
    <w:p>
      <w:r>
        <w:t>¿Cómo se ubican los salarios formales de La Rioja?</w:t>
      </w:r>
    </w:p>
    <w:p>
      <w:r>
        <w:t>Usamos SIPA (OEDE): remuneración promedio del sector privado registrado por provincia. El nominal sirve para el ranking en un mes. La tendencia de poder de compra se lee como CEPA/Trabajo: desestacionalizar (X-13), deflactar por IPC nacional e indexar a ene-2025 = 100. Por encima de 100 = más poder de compra que ene-2025; por debajo = menos.</w:t>
      </w:r>
    </w:p>
    <w:p>
      <w:r>
        <w:t>Metodología:</w:t>
      </w:r>
    </w:p>
    <w:p>
      <w:pPr>
        <w:pStyle w:val="ListBullet"/>
      </w:pPr>
      <w:r>
        <w:t>Fuente: SIPA / OEDE – boletín provincial de remuneraciones (valores corrientes). La serie oficial “sin estacionalidad” de Trabajo (trabajoregistrado, hoja A.4) es solo nacional; acá desestacionalizamos por región (La Rioja / NOA-Resto / Resto país).</w:t>
      </w:r>
    </w:p>
    <w:p>
      <w:pPr>
        <w:pStyle w:val="ListBullet"/>
      </w:pPr>
      <w:r>
        <w:t>Real = remuneración SA / IPC nacional × 100; después índice con base ene-2025 = 100.</w:t>
      </w:r>
    </w:p>
    <w:p>
      <w:pPr>
        <w:pStyle w:val="ListBullet"/>
      </w:pPr>
      <w:r>
        <w:t>Ventana del gráfico de tendencia: 2017–oct-2025. En el Excel, ene–mar 2026 repiten oct–dic 2025; se excluyen del X-13 para no contaminar el final de la serie.</w:t>
      </w:r>
    </w:p>
    <w:p>
      <w:r>
        <w:t>¿Qué nos dice el último dato nominal (oct-2025)?</w:t>
      </w:r>
    </w:p>
    <w:p>
      <w:r>
        <w:t>En La Rioja la remuneración promedio del privado registrado fue de $1.411.096. Eso la ubica en el puesto 21 de 24. NOA-Resto ≈ $1.591.568; resto del país ≈ $2.089.120.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larios_privados_SI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Figura. Remuneración promedio del sector privado registrado (pesos corrientes).</w:t>
      </w:r>
    </w:p>
    <w:p>
      <w:r>
        <w:t>¿Qué nos dice la serie en términos reales?</w:t>
      </w:r>
    </w:p>
    <w:p>
      <w:r>
        <w:t>Índice real (ene-2025 = 100), oct-2025: La Rioja 104; NOA-Resto 113; resto país 110. En ene-2017 La Rioja estaba en 116: el poder de compra era mayor que en ene-2025. Tras el piso de 2023–24 hubo recuperación; a oct-2025 La Rioja queda cerca de la base 100 y por debajo del NOA-Resto.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larios_privados_SIPA_real_sa_ind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Figura. Remuneración privada en términos reales (SA X-13 / IPC), índice ene-2025 = 100. Estilo CEPA.</w:t>
      </w:r>
    </w:p>
    <w:p>
      <w:r>
        <w:t>FICHA METODOLÓGICA</w:t>
      </w:r>
    </w:p>
    <w:p>
      <w:r>
        <w:t>¿Qué mide?: Remuneración promedio del empleo asalariado privado registrado (SIPA): nivel nominal y poder de compra (serie SA deflactada por IPC, índice ene-2025 = 100).</w:t>
      </w:r>
    </w:p>
    <w:p>
      <w:r>
        <w:t>¿Para qué sirve?: Comparar niveles entre jurisdicciones (nominal) y seguir si el salario privado formal gana o pierde poder de compra (real SA).</w:t>
      </w:r>
    </w:p>
    <w:p>
      <w:r>
        <w:t>¿Qué nos dice?:</w:t>
      </w:r>
    </w:p>
    <w:p>
      <w:r>
        <w:t>Si sube: En nominal: sube la remuneración corriente. En el índice real: mejora el poder de compra respecto de ene-2025.</w:t>
      </w:r>
    </w:p>
    <w:p>
      <w:r>
        <w:t>Si baja: En nominal: cae la remuneración corriente. En el índice real: se pierde poder de compra respecto de ene-2025.</w:t>
      </w:r>
    </w:p>
    <w:p>
      <w:r>
        <w:t>Comportamiento Esperado: El nominal “por todo concepto” incluye SAC (jun/dic). Por eso se desestacionaliza con X-13 antes de deflactar.</w:t>
      </w:r>
    </w:p>
    <w:p>
      <w:r>
        <w:t>Unidad de Medida: Pesos corrientes; índice real (ene-2025 = 100).</w:t>
      </w:r>
    </w:p>
    <w:p>
      <w:r>
        <w:t>Fórmula de Cálculo: SA = X-13(nominal_regional); real = SA / IPC_nacional × 100; índice = 100 × real_t / real_ene2025.</w:t>
      </w:r>
    </w:p>
    <w:p>
      <w:r>
        <w:t>Fuente de Datos Oficial: SIPA/OEDE (Capital Humano); IPC INDEC/SSPM; X-13 via paquete seasonal (R).</w:t>
      </w:r>
    </w:p>
    <w:p>
      <w:r>
        <w:t>Frecuencia de Actualización: Mensual.</w:t>
      </w:r>
    </w:p>
    <w:p>
      <w:r>
        <w:t>Limitaciones:</w:t>
      </w:r>
    </w:p>
    <w:p>
      <w:pPr>
        <w:pStyle w:val="ListBullet"/>
      </w:pPr>
      <w:r>
        <w:t>Solo privado registrado (no informal ni monotributo puro).</w:t>
      </w:r>
    </w:p>
    <w:p>
      <w:pPr>
        <w:pStyle w:val="ListBullet"/>
      </w:pPr>
      <w:r>
        <w:t>No separa sector público (para eso EPH).</w:t>
      </w:r>
    </w:p>
    <w:p>
      <w:pPr>
        <w:pStyle w:val="ListBullet"/>
      </w:pPr>
      <w:r>
        <w:t>IPC nacional no captura canasta regional.</w:t>
      </w:r>
    </w:p>
    <w:p>
      <w:pPr>
        <w:pStyle w:val="ListBullet"/>
      </w:pPr>
      <w:r>
        <w:t>Agregado regional = media simple de provincias.</w:t>
      </w:r>
    </w:p>
    <w:p>
      <w:pPr>
        <w:pStyle w:val="ListBullet"/>
      </w:pPr>
      <w:r>
        <w:t>ene–mar 2026 del Excel provincial repiten oct–dic 2025; se excluyen del X-13 (contaminan el final de 2025).</w:t>
      </w:r>
    </w:p>
    <w:p>
      <w:pPr>
        <w:pStyle w:val="Heading1"/>
      </w:pPr>
      <w:r>
        <w:t>Exportaciones</w:t>
      </w:r>
    </w:p>
    <w:p>
      <w:r>
        <w:t>¿Cuánto exporta La Rioja?</w:t>
      </w:r>
    </w:p>
    <w:p>
      <w:r>
        <w:t>Fuente: OPEX–INDEC (millones de USD por origen provincial). Se agregan La Rioja, NOA-Resto y Resto país por suma. El índice 2015 = 100 se mantiene (no es el mismo caso que salarios en pesos; confirmado con el equipo).</w:t>
      </w:r>
    </w:p>
    <w:p>
      <w:r>
        <w:t>Metodología:</w:t>
      </w:r>
    </w:p>
    <w:p>
      <w:pPr>
        <w:pStyle w:val="ListBullet"/>
      </w:pPr>
      <w:r>
        <w:t>Nivel: millones de USD (paneles con ejes libres). Dinámica: índice 2015 = 100. Peso: % sobre la suma OPEX de las 24 jurisdicciones.</w:t>
      </w:r>
    </w:p>
    <w:p>
      <w:pPr>
        <w:pStyle w:val="ListBullet"/>
      </w:pPr>
      <w:r>
        <w:t>El share usa el total por origen provincial, no la suma de subrubros detallados (OPEX no publica todos los productos todos los años).</w:t>
      </w:r>
    </w:p>
    <w:p>
      <w:pPr>
        <w:pStyle w:val="ListBullet"/>
      </w:pPr>
      <w:r>
        <w:t>2024–2025 pueden figurar como provisorios.</w:t>
      </w:r>
    </w:p>
    <w:p>
      <w:r>
        <w:t>¿Qué nos dice el último dato (2025)?</w:t>
      </w:r>
    </w:p>
    <w:p>
      <w:pPr>
        <w:pStyle w:val="ListBullet"/>
      </w:pPr>
      <w:r>
        <w:t>La Rioja exportó 163 millones de USD (0.19% de la suma provincial OPEX).</w:t>
      </w:r>
    </w:p>
    <w:p>
      <w:pPr>
        <w:pStyle w:val="ListBullet"/>
      </w:pPr>
      <w:r>
        <w:t>Respecto de 2024 (220 millones): cayeron 26% (dato de La Rioja).</w:t>
      </w:r>
    </w:p>
    <w:p>
      <w:pPr>
        <w:pStyle w:val="ListBullet"/>
      </w:pPr>
      <w:r>
        <w:t>Índice 2015 = 100: La Rioja 71; NOA-Resto 154; resto país 157.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9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xportaciones_totales_reg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Figura. Exportaciones en millones de USD (ejes libres por región).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xportaciones_indice_2015_reg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Figura. Índice 2015 = 100 (compara dinámicas, no niveles absolutos).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9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xportaciones_share_nacional_reg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Figura. Participación sobre la suma OPEX de las 24 jurisdicciones.</w:t>
      </w:r>
    </w:p>
    <w:p>
      <w:r>
        <w:t>¿En qué se concentra lo que exporta La Rioja?</w:t>
      </w:r>
    </w:p>
    <w:p>
      <w:r>
        <w:t>La Rioja está más concentrada que el NOA-Resto y el resto del país: el top 3 concentra ~77% de lo publicado (preparados hortifrutícolas, grasas/aceites, papel/cartón), frente a ~35% en los otros agregados. Eso eleva la exposición a shocks de esos eslabones.</w:t>
      </w:r>
    </w:p>
    <w:p>
      <w:r>
        <w:t>El perfil también es distinto. El resto del país se parece al patrón agroexportador/energético (cereales, residuos alimentarios, grasas y aceites, transporte, petróleo). El NOA-Resto combina químicos, cereales, oleaginosos y minería, más hortalizas y tabaco. La Rioja se apoya en agroindustria elaborada, aceites y papel/cartón; casi no aparece el núcleo cerealero ni el minero-energético. Que OPEX no publique un bloque minero desagregado no prueba cero minería (puede ser residual o confidencialidad).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xportaciones_treemap_subrubros_fac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Figura. Composición por subrubros (2025).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338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xportaciones_heatmap_lario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Figura. Heatmap de subrubros — La Rioja.</w:t>
      </w:r>
    </w:p>
    <w:p>
      <w:r>
        <w:t>FICHA METODOLÓGICA</w:t>
      </w:r>
    </w:p>
    <w:p>
      <w:r>
        <w:t>¿Qué mide?: Exportaciones de bienes por origen provincial/grupo (millones USD); índice 2015 = 100; share sobre la suma de totales provinciales OPEX.</w:t>
      </w:r>
    </w:p>
    <w:p>
      <w:r>
        <w:t>¿Para qué sirve?: Seguir inserción externa, comparar dinámicas sin confundir escalas y ver especialización por productos.</w:t>
      </w:r>
    </w:p>
    <w:p>
      <w:r>
        <w:t>¿Qué nos dice?:</w:t>
      </w:r>
    </w:p>
    <w:p>
      <w:r>
        <w:t>Si sube: Mayor venta al exterior o mejores precios/cantidades.</w:t>
      </w:r>
    </w:p>
    <w:p>
      <w:r>
        <w:t>Si baja: Menor inserción externa o caída en rubros clave.</w:t>
      </w:r>
    </w:p>
    <w:p>
      <w:r>
        <w:t>Comportamiento Esperado: Cíclico; sensible a precios internacionales, tipo de cambio y producción local.</w:t>
      </w:r>
    </w:p>
    <w:p>
      <w:r>
        <w:t>Unidad de Medida: Millones de USD; índice 2015 = 100; % sobre suma OPEX provincial.</w:t>
      </w:r>
    </w:p>
    <w:p>
      <w:r>
        <w:t>Fórmula de Cálculo: Total grupo = suma de provincias. Índice_t = 100 × exp_t / exp_2015. Share = exp_grupo / suma_24_jurisdicciones × 100.</w:t>
      </w:r>
    </w:p>
    <w:p>
      <w:r>
        <w:t>Fuente de Datos Oficial: INDEC – OPEX.</w:t>
      </w:r>
    </w:p>
    <w:p>
      <w:r>
        <w:t>Frecuencia de Actualización: Anual (con revisiones / datos provisorios).</w:t>
      </w:r>
    </w:p>
    <w:p>
      <w:r>
        <w:t>Limitaciones:</w:t>
      </w:r>
    </w:p>
    <w:p>
      <w:pPr>
        <w:pStyle w:val="ListBullet"/>
      </w:pPr>
      <w:r>
        <w:t>No publica todos los productos todos los años.</w:t>
      </w:r>
    </w:p>
    <w:p>
      <w:pPr>
        <w:pStyle w:val="ListBullet"/>
      </w:pPr>
      <w:r>
        <w:t>No incluye servicios.</w:t>
      </w:r>
    </w:p>
    <w:p>
      <w:pPr>
        <w:pStyle w:val="ListBullet"/>
      </w:pPr>
      <w:r>
        <w:t>La suma de subrubros no cierra con el total provincial.</w:t>
      </w:r>
    </w:p>
    <w:p>
      <w:pPr>
        <w:pStyle w:val="ListBullet"/>
      </w:pPr>
      <w:r>
        <w:t>El índice compara dinámica, no tamaño absoluto.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