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8FF072" w14:textId="77777777" w:rsidR="001815AC" w:rsidRPr="0057078F" w:rsidRDefault="00000000" w:rsidP="0057078F">
      <w:pPr>
        <w:spacing w:after="0" w:line="276" w:lineRule="auto"/>
        <w:jc w:val="center"/>
        <w:rPr>
          <w:rFonts w:ascii="Calibri" w:eastAsia="Times New Roman" w:hAnsi="Calibri" w:cs="Calibri"/>
          <w:sz w:val="24"/>
          <w:szCs w:val="24"/>
        </w:rPr>
      </w:pPr>
      <w:bookmarkStart w:id="0" w:name="_heading=h.gjdgxs" w:colFirst="0" w:colLast="0"/>
      <w:bookmarkEnd w:id="0"/>
      <w:r>
        <w:rPr>
          <w:rFonts w:ascii="Calibri" w:eastAsia="Calibri" w:hAnsi="Calibri" w:cs="Calibri"/>
          <w:b/>
          <w:color w:val="000000"/>
          <w:sz w:val="24"/>
          <w:szCs w:val="24"/>
        </w:rPr>
        <w:t>AUTORIZACIÓN</w:t>
      </w:r>
    </w:p>
    <w:tbl>
      <w:tblPr>
        <w:tblStyle w:val="a0"/>
        <w:tblW w:w="9440" w:type="dxa"/>
        <w:tblLayout w:type="fixed"/>
        <w:tblLook w:val="0400" w:firstRow="0" w:lastRow="0" w:firstColumn="0" w:lastColumn="0" w:noHBand="0" w:noVBand="1"/>
      </w:tblPr>
      <w:tblGrid>
        <w:gridCol w:w="1090"/>
        <w:gridCol w:w="2768"/>
        <w:gridCol w:w="3000"/>
        <w:gridCol w:w="1146"/>
        <w:gridCol w:w="1436"/>
      </w:tblGrid>
      <w:tr w:rsidR="001815AC" w:rsidRPr="0057078F" w14:paraId="04F59FE5" w14:textId="77777777">
        <w:trPr>
          <w:trHeight w:val="302"/>
        </w:trPr>
        <w:tc>
          <w:tcPr>
            <w:tcW w:w="109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5D082A31"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Función </w:t>
            </w:r>
          </w:p>
        </w:tc>
        <w:tc>
          <w:tcPr>
            <w:tcW w:w="2768"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1D477F7B"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Nombre </w:t>
            </w:r>
          </w:p>
        </w:tc>
        <w:tc>
          <w:tcPr>
            <w:tcW w:w="300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5AF257D1"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Cargo </w:t>
            </w:r>
          </w:p>
        </w:tc>
        <w:tc>
          <w:tcPr>
            <w:tcW w:w="1146"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1E1FC75E"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Evidencia</w:t>
            </w:r>
          </w:p>
        </w:tc>
        <w:tc>
          <w:tcPr>
            <w:tcW w:w="1436"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44301DD7"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Fecha</w:t>
            </w:r>
          </w:p>
        </w:tc>
      </w:tr>
      <w:tr w:rsidR="001815AC" w:rsidRPr="0057078F" w14:paraId="48C75413" w14:textId="77777777">
        <w:trPr>
          <w:trHeight w:val="617"/>
        </w:trPr>
        <w:tc>
          <w:tcPr>
            <w:tcW w:w="1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3BF0D"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Elabora </w:t>
            </w:r>
          </w:p>
        </w:tc>
        <w:tc>
          <w:tcPr>
            <w:tcW w:w="2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52BAA"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 xml:space="preserve">José Roberto Castañeda Arriola</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8FFB6" w14:textId="77777777" w:rsidR="001815AC" w:rsidRPr="0057078F" w:rsidRDefault="00000000" w:rsidP="0057078F">
            <w:pPr>
              <w:spacing w:after="0" w:line="276" w:lineRule="auto"/>
              <w:ind w:left="304" w:right="239"/>
              <w:jc w:val="center"/>
              <w:rPr>
                <w:rFonts w:ascii="Calibri" w:eastAsia="Times New Roman" w:hAnsi="Calibri" w:cs="Calibri"/>
                <w:sz w:val="24"/>
                <w:szCs w:val="24"/>
              </w:rPr>
            </w:pPr>
            <w:r>
              <w:rPr>
                <w:rFonts w:ascii="Calibri" w:eastAsia="Calibri" w:hAnsi="Calibri" w:cs="Calibri"/>
                <w:color w:val="000000"/>
                <w:sz w:val="24"/>
                <w:szCs w:val="24"/>
              </w:rPr>
              <w:t xml:space="preserve">Asesor legal externo (AMC Legal)</w:t>
            </w:r>
          </w:p>
        </w:tc>
        <w:tc>
          <w:tcPr>
            <w:tcW w:w="1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6B29F"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Correo </w:t>
            </w:r>
          </w:p>
        </w:tc>
        <w:tc>
          <w:tcPr>
            <w:tcW w:w="1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F5EDF"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sz w:val="24"/>
                <w:szCs w:val="24"/>
              </w:rPr>
              <w:t xml:space="preserve">10-09-2026</w:t>
            </w:r>
          </w:p>
        </w:tc>
      </w:tr>
      <w:tr w:rsidR="001815AC" w:rsidRPr="0057078F" w14:paraId="60BE4873" w14:textId="77777777">
        <w:trPr>
          <w:trHeight w:val="750"/>
        </w:trPr>
        <w:tc>
          <w:tcPr>
            <w:tcW w:w="1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1262F"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Revisa </w:t>
            </w:r>
          </w:p>
        </w:tc>
        <w:tc>
          <w:tcPr>
            <w:tcW w:w="2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2A547"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Eduardo Frances</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B6437"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COO</w:t>
            </w:r>
          </w:p>
        </w:tc>
        <w:tc>
          <w:tcPr>
            <w:tcW w:w="1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08081"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Correo </w:t>
            </w:r>
          </w:p>
        </w:tc>
        <w:tc>
          <w:tcPr>
            <w:tcW w:w="1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E8558" w14:textId="01898352"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sz w:val="24"/>
                <w:szCs w:val="24"/>
              </w:rPr>
              <w:t xml:space="preserve">Pendiente</w:t>
            </w:r>
          </w:p>
        </w:tc>
      </w:tr>
      <w:tr w:rsidR="001815AC" w:rsidRPr="0057078F" w14:paraId="1EE1309F" w14:textId="77777777">
        <w:trPr>
          <w:trHeight w:val="586"/>
        </w:trPr>
        <w:tc>
          <w:tcPr>
            <w:tcW w:w="1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E488D"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Aprueba </w:t>
            </w:r>
          </w:p>
        </w:tc>
        <w:tc>
          <w:tcPr>
            <w:tcW w:w="2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25531"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José Mario Ávila Palomo</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AF7F7"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CEO</w:t>
            </w:r>
          </w:p>
        </w:tc>
        <w:tc>
          <w:tcPr>
            <w:tcW w:w="1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79D4B"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Correo </w:t>
            </w:r>
          </w:p>
        </w:tc>
        <w:tc>
          <w:tcPr>
            <w:tcW w:w="1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A0290"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sz w:val="24"/>
                <w:szCs w:val="24"/>
              </w:rPr>
              <w:t xml:space="preserve">Pendiente</w:t>
            </w:r>
          </w:p>
        </w:tc>
      </w:tr>
    </w:tbl>
    <w:p w14:paraId="4013033A" w14:textId="77777777" w:rsidR="001815AC" w:rsidRPr="0057078F" w:rsidRDefault="001815AC" w:rsidP="0057078F">
      <w:pPr>
        <w:spacing w:after="0" w:line="276" w:lineRule="auto"/>
        <w:rPr>
          <w:rFonts w:ascii="Calibri" w:eastAsia="Times New Roman" w:hAnsi="Calibri" w:cs="Calibri"/>
          <w:sz w:val="24"/>
          <w:szCs w:val="24"/>
        </w:rPr>
      </w:pPr>
    </w:p>
    <w:p w14:paraId="346F9C24" w14:textId="77777777" w:rsidR="001815AC" w:rsidRPr="0057078F" w:rsidRDefault="00000000" w:rsidP="0057078F">
      <w:pPr>
        <w:spacing w:after="0" w:line="276" w:lineRule="auto"/>
        <w:ind w:left="1001"/>
        <w:jc w:val="center"/>
        <w:rPr>
          <w:rFonts w:ascii="Calibri" w:eastAsia="Times New Roman" w:hAnsi="Calibri" w:cs="Calibri"/>
          <w:sz w:val="24"/>
          <w:szCs w:val="24"/>
        </w:rPr>
      </w:pPr>
      <w:r>
        <w:rPr>
          <w:rFonts w:ascii="Calibri" w:eastAsia="Calibri" w:hAnsi="Calibri" w:cs="Calibri"/>
          <w:b/>
          <w:color w:val="000000"/>
          <w:sz w:val="24"/>
          <w:szCs w:val="24"/>
        </w:rPr>
        <w:t>REGISTRO DE REVISIONES</w:t>
      </w:r>
    </w:p>
    <w:tbl>
      <w:tblPr>
        <w:tblStyle w:val="a1"/>
        <w:tblW w:w="6015" w:type="dxa"/>
        <w:tblInd w:w="1916" w:type="dxa"/>
        <w:tblLayout w:type="fixed"/>
        <w:tblLook w:val="0400" w:firstRow="0" w:lastRow="0" w:firstColumn="0" w:lastColumn="0" w:noHBand="0" w:noVBand="1"/>
      </w:tblPr>
      <w:tblGrid>
        <w:gridCol w:w="840"/>
        <w:gridCol w:w="1560"/>
        <w:gridCol w:w="1230"/>
        <w:gridCol w:w="2385"/>
      </w:tblGrid>
      <w:tr w:rsidR="001815AC" w:rsidRPr="0057078F" w14:paraId="5237D5EA" w14:textId="77777777">
        <w:trPr>
          <w:trHeight w:val="765"/>
        </w:trPr>
        <w:tc>
          <w:tcPr>
            <w:tcW w:w="84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vAlign w:val="center"/>
          </w:tcPr>
          <w:p w14:paraId="38C5E346"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No.</w:t>
            </w:r>
          </w:p>
        </w:tc>
        <w:tc>
          <w:tcPr>
            <w:tcW w:w="156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vAlign w:val="center"/>
          </w:tcPr>
          <w:p w14:paraId="1AACD83D"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Fecha</w:t>
            </w:r>
          </w:p>
        </w:tc>
        <w:tc>
          <w:tcPr>
            <w:tcW w:w="123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vAlign w:val="center"/>
          </w:tcPr>
          <w:p w14:paraId="73F04D89"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Sección</w:t>
            </w:r>
          </w:p>
        </w:tc>
        <w:tc>
          <w:tcPr>
            <w:tcW w:w="2385"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vAlign w:val="center"/>
          </w:tcPr>
          <w:p w14:paraId="64DB7582"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Descripción de cambios</w:t>
            </w:r>
          </w:p>
        </w:tc>
      </w:tr>
      <w:tr w:rsidR="001815AC" w:rsidRPr="0057078F" w14:paraId="3C0318EE" w14:textId="77777777">
        <w:trPr>
          <w:trHeight w:val="324"/>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165C1B"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00</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D85971"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sz w:val="24"/>
                <w:szCs w:val="24"/>
              </w:rPr>
              <w:t>29-08-2024</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EC1187"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Todo</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693AD8"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Creación del documento</w:t>
            </w:r>
          </w:p>
        </w:tc>
      </w:tr>
      <w:tr w:rsidR="001815AC" w:rsidRPr="0057078F" w14:paraId="3C0318EE" w14:textId="77777777">
        <w:trPr>
          <w:trHeight w:val="324"/>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165C1B"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 xml:space="preserve">01</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D85971"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sz w:val="24"/>
                <w:szCs w:val="24"/>
              </w:rPr>
              <w:t xml:space="preserve">10-09-2026</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EC1187"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 xml:space="preserve">Todo</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693AD8"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 xml:space="preserve">Actualización integral al Decreto 15-2026; reestructuración como manual marco con documentos complementarios independientes</w:t>
            </w:r>
          </w:p>
        </w:tc>
      </w:tr>
      <w:tr w:rsidR="001815AC" w:rsidRPr="0057078F" w14:paraId="087068AC" w14:textId="77777777">
        <w:trPr>
          <w:trHeight w:val="302"/>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E03F98" w14:textId="77777777" w:rsidR="001815AC" w:rsidRPr="0057078F" w:rsidRDefault="001815AC" w:rsidP="0057078F">
            <w:pPr>
              <w:spacing w:after="0" w:line="276" w:lineRule="auto"/>
              <w:jc w:val="center"/>
              <w:rPr>
                <w:rFonts w:ascii="Calibri" w:eastAsia="Calibri" w:hAnsi="Calibri" w:cs="Calibri"/>
                <w:color w:val="000000"/>
                <w:sz w:val="24"/>
                <w:szCs w:val="24"/>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F4A1F3" w14:textId="77777777" w:rsidR="001815AC" w:rsidRPr="0057078F" w:rsidRDefault="001815AC" w:rsidP="0057078F">
            <w:pPr>
              <w:spacing w:after="0" w:line="276" w:lineRule="auto"/>
              <w:jc w:val="center"/>
              <w:rPr>
                <w:rFonts w:ascii="Calibri" w:eastAsia="Calibri" w:hAnsi="Calibri" w:cs="Calibri"/>
                <w:color w:val="000000"/>
                <w:sz w:val="24"/>
                <w:szCs w:val="24"/>
              </w:rPr>
            </w:pP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F5F186" w14:textId="77777777" w:rsidR="001815AC" w:rsidRPr="0057078F" w:rsidRDefault="001815AC" w:rsidP="0057078F">
            <w:pPr>
              <w:spacing w:after="0" w:line="276" w:lineRule="auto"/>
              <w:jc w:val="center"/>
              <w:rPr>
                <w:rFonts w:ascii="Calibri" w:eastAsia="Calibri" w:hAnsi="Calibri" w:cs="Calibri"/>
                <w:color w:val="000000"/>
                <w:sz w:val="24"/>
                <w:szCs w:val="24"/>
              </w:rPr>
            </w:pP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3F5A1A" w14:textId="77777777" w:rsidR="001815AC" w:rsidRPr="0057078F" w:rsidRDefault="001815AC" w:rsidP="0057078F">
            <w:pPr>
              <w:spacing w:after="0" w:line="276" w:lineRule="auto"/>
              <w:jc w:val="center"/>
              <w:rPr>
                <w:rFonts w:ascii="Calibri" w:eastAsia="Calibri" w:hAnsi="Calibri" w:cs="Calibri"/>
                <w:color w:val="000000"/>
                <w:sz w:val="24"/>
                <w:szCs w:val="24"/>
              </w:rPr>
            </w:pPr>
          </w:p>
        </w:tc>
      </w:tr>
    </w:tbl>
    <w:p w14:paraId="5B6C3E10" w14:textId="77777777" w:rsidR="001815AC" w:rsidRPr="0057078F" w:rsidRDefault="001815AC" w:rsidP="0057078F">
      <w:pPr>
        <w:spacing w:line="276" w:lineRule="auto"/>
        <w:jc w:val="center"/>
        <w:rPr>
          <w:rFonts w:ascii="Calibri" w:eastAsia="Calibri" w:hAnsi="Calibri" w:cs="Calibri"/>
          <w:color w:val="1A1A1A"/>
          <w:sz w:val="24"/>
          <w:szCs w:val="24"/>
        </w:rPr>
      </w:pPr>
    </w:p>
    <w:p w14:paraId="6295D2C3" w14:textId="77777777" w:rsidR="001815AC" w:rsidRPr="0057078F" w:rsidRDefault="00000000" w:rsidP="0057078F">
      <w:pPr>
        <w:spacing w:line="276" w:lineRule="auto"/>
        <w:rPr>
          <w:rFonts w:ascii="Calibri" w:eastAsia="Calibri" w:hAnsi="Calibri" w:cs="Calibri"/>
          <w:color w:val="1A1A1A"/>
          <w:sz w:val="24"/>
          <w:szCs w:val="24"/>
        </w:rPr>
      </w:pPr>
      <w:r>
        <w:rPr>
          <w:rFonts w:ascii="Calibri" w:hAnsi="Calibri" w:cs="Calibri"/>
          <w:sz w:val="24"/>
          <w:szCs w:val="24"/>
        </w:rPr>
        <w:br w:type="page"/>
      </w:r>
    </w:p>
    <w:p w14:paraId="28C372B6" w14:textId="77777777" w:rsidR="001815AC" w:rsidRPr="0057078F" w:rsidRDefault="001815AC" w:rsidP="0057078F">
      <w:pPr>
        <w:spacing w:line="276" w:lineRule="auto"/>
        <w:rPr>
          <w:rFonts w:ascii="Calibri" w:eastAsia="Calibri" w:hAnsi="Calibri" w:cs="Calibri"/>
          <w:color w:val="1A1A1A"/>
          <w:sz w:val="24"/>
          <w:szCs w:val="24"/>
        </w:rPr>
      </w:pPr>
    </w:p>
    <w:p w14:paraId="6D146ADC" w14:textId="77777777" w:rsidR="001815AC" w:rsidRPr="0057078F" w:rsidRDefault="00000000" w:rsidP="0057078F">
      <w:pPr>
        <w:pBdr>
          <w:top w:val="nil"/>
          <w:left w:val="nil"/>
          <w:bottom w:val="nil"/>
          <w:right w:val="nil"/>
          <w:between w:val="nil"/>
        </w:pBdr>
        <w:spacing w:after="0" w:line="276" w:lineRule="auto"/>
        <w:rPr>
          <w:rFonts w:ascii="Calibri" w:eastAsia="Calibri" w:hAnsi="Calibri" w:cs="Calibri"/>
          <w:color w:val="1A1A1A"/>
          <w:sz w:val="24"/>
          <w:szCs w:val="24"/>
        </w:rPr>
      </w:pPr>
      <w:bookmarkStart w:id="5" w:name="_heading=h.30j0zll" w:colFirst="0" w:colLast="0"/>
      <w:bookmarkEnd w:id="5"/>
      <w:r>
        <w:rPr>
          <w:rFonts w:ascii="Calibri" w:eastAsia="Calibri" w:hAnsi="Calibri" w:cs="Calibri"/>
          <w:color w:val="1A1A1A"/>
          <w:sz w:val="24"/>
          <w:szCs w:val="24"/>
        </w:rPr>
        <w:t>Contenido</w:t>
      </w:r>
    </w:p>
    <w:sdt>
      <w:sdtPr>
        <w:rPr>
          <w:rFonts w:ascii="Calibri" w:hAnsi="Calibri" w:cs="Calibri"/>
          <w:sz w:val="24"/>
          <w:szCs w:val="24"/>
        </w:rPr>
        <w:id w:val="-1319574186"/>
        <w:docPartObj>
          <w:docPartGallery w:val="Table of Contents"/>
          <w:docPartUnique/>
        </w:docPartObj>
      </w:sdtPr>
      <w:sdtContent>
        <w:p w14:paraId="5A6BD5AD" w14:textId="41C2690D" w:rsidR="00642217" w:rsidRDefault="00000000">
          <w:pPr>
            <w:pStyle w:val="TOC1"/>
            <w:tabs>
              <w:tab w:val="left" w:pos="440"/>
              <w:tab w:val="right" w:leader="dot" w:pos="9204"/>
            </w:tabs>
            <w:rPr>
              <w:rFonts w:asciiTheme="minorHAnsi" w:eastAsiaTheme="minorEastAsia" w:hAnsiTheme="minorHAnsi" w:cstheme="minorBidi"/>
              <w:noProof/>
              <w:kern w:val="2"/>
              <w:sz w:val="24"/>
              <w:szCs w:val="24"/>
              <w:lang w:val="en-US" w:eastAsia="en-US"/>
              <w14:ligatures w14:val="standardContextual"/>
            </w:rPr>
          </w:pPr>
          <w:r>
            <w:rPr>
              <w:rFonts w:ascii="Calibri" w:hAnsi="Calibri" w:cs="Calibri"/>
              <w:sz w:val="24"/>
              <w:szCs w:val="24"/>
            </w:rPr>
            <w:fldChar w:fldCharType="begin"/>
            <w:instrText xml:space="preserve"> TOC \h \u \z \t "Heading 1,1,Heading 2,2,Heading 3,3,"</w:instrText>
            <w:fldChar w:fldCharType="separate"/>
          </w:r>
          <w:r>
            <w:rPr>
              <w:rStyle w:val="Hyperlink"/>
              <w:noProof/>
            </w:rPr>
            <w:fldChar w:fldCharType="begin"/>
            <w:instrText xml:space="preserve"> </w:instrText>
          </w:r>
          <w:r>
            <w:rPr>
              <w:noProof/>
            </w:rPr>
            <w:instrText>HYPERLINK \l "_Toc176997886"</w:instrText>
          </w:r>
          <w:r>
            <w:rPr>
              <w:rStyle w:val="Hyperlink"/>
              <w:noProof/>
            </w:rPr>
            <w:instrText xml:space="preserve"> </w:instrText>
            <w:fldChar w:fldCharType="separate"/>
          </w:r>
          <w:r>
            <w:rPr>
              <w:rStyle w:val="Hyperlink"/>
              <w:rFonts w:cs="Calibri"/>
              <w:noProof/>
            </w:rPr>
            <w:t>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INTRODUCCIÓN</w:t>
          </w:r>
          <w:r>
            <w:rPr>
              <w:noProof/>
              <w:webHidden/>
            </w:rPr>
            <w:tab/>
            <w:fldChar w:fldCharType="begin"/>
            <w:instrText xml:space="preserve"> PAGEREF _Toc176997886 \h </w:instrText>
            <w:fldChar w:fldCharType="separate"/>
            <w:t>7</w:t>
            <w:fldChar w:fldCharType="end"/>
          </w:r>
          <w:r>
            <w:rPr>
              <w:rStyle w:val="Hyperlink"/>
              <w:noProof/>
            </w:rPr>
            <w:fldChar w:fldCharType="end"/>
          </w:r>
        </w:p>
        <w:p w14:paraId="75F129DB" w14:textId="6DC2FC7A" w:rsidR="00642217" w:rsidRDefault="00642217">
          <w:pPr>
            <w:pStyle w:val="TOC1"/>
            <w:tabs>
              <w:tab w:val="left" w:pos="44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"_Toc176997887"</w:instrText>
          </w:r>
          <w:r>
            <w:rPr>
              <w:rStyle w:val="Hyperlink"/>
              <w:noProof/>
            </w:rPr>
            <w:instrText xml:space="preserve"> </w:instrText>
            <w:fldChar w:fldCharType="separate"/>
          </w:r>
          <w:r>
            <w:rPr>
              <w:rStyle w:val="Hyperlink"/>
              <w:rFonts w:cs="Calibri"/>
              <w:noProof/>
            </w:rPr>
            <w:t>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OBJETIVOS</w:t>
          </w:r>
          <w:r>
            <w:rPr>
              <w:noProof/>
              <w:webHidden/>
            </w:rPr>
            <w:tab/>
            <w:fldChar w:fldCharType="begin"/>
            <w:instrText xml:space="preserve"> PAGEREF _Toc176997887 \h </w:instrText>
            <w:fldChar w:fldCharType="separate"/>
            <w:t>8</w:t>
            <w:fldChar w:fldCharType="end"/>
          </w:r>
          <w:r>
            <w:rPr>
              <w:rStyle w:val="Hyperlink"/>
              <w:noProof/>
            </w:rPr>
            <w:fldChar w:fldCharType="end"/>
          </w:r>
        </w:p>
        <w:p w14:paraId="3FDFB8DC" w14:textId="4CE82EB8"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"_Toc176997888"</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GENERALES</w:t>
          </w:r>
          <w:r>
            <w:rPr>
              <w:webHidden/>
            </w:rPr>
            <w:tab/>
            <w:fldChar w:fldCharType="begin"/>
            <w:instrText xml:space="preserve"> PAGEREF _Toc176997888 \h </w:instrText>
            <w:fldChar w:fldCharType="separate"/>
            <w:t>8</w:t>
            <w:fldChar w:fldCharType="end"/>
          </w:r>
          <w:r>
            <w:rPr>
              <w:rStyle w:val="Hyperlink"/>
            </w:rPr>
            <w:fldChar w:fldCharType="end"/>
          </w:r>
        </w:p>
        <w:p w14:paraId="04C3A4F8" w14:textId="432B6783"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"_Toc176997889"</w:instrText>
          </w:r>
          <w:r>
            <w:rPr>
              <w:rStyle w:val="Hyperlink"/>
            </w:rPr>
            <w:instrText xml:space="preserve"> </w:instrText>
            <w:fldChar w:fldCharType="separate"/>
          </w:r>
          <w:r>
            <w:rPr>
              <w:rStyle w:val="Hyperlink"/>
              <w:rFonts w:cs="Calibri"/>
            </w:rPr>
            <w:t>B.</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ESPECÍFICOS</w:t>
          </w:r>
          <w:r>
            <w:rPr>
              <w:webHidden/>
            </w:rPr>
            <w:tab/>
            <w:fldChar w:fldCharType="begin"/>
            <w:instrText xml:space="preserve"> PAGEREF _Toc176997889 \h </w:instrText>
            <w:fldChar w:fldCharType="separate"/>
            <w:t>8</w:t>
            <w:fldChar w:fldCharType="end"/>
          </w:r>
          <w:r>
            <w:rPr>
              <w:rStyle w:val="Hyperlink"/>
            </w:rPr>
            <w:fldChar w:fldCharType="end"/>
          </w:r>
        </w:p>
        <w:p w14:paraId="609C77C9" w14:textId="2D43ABDC"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"_Toc176997890"</w:instrText>
          </w:r>
          <w:r>
            <w:rPr>
              <w:rStyle w:val="Hyperlink"/>
              <w:noProof/>
            </w:rPr>
            <w:instrText xml:space="preserve"> </w:instrText>
            <w:fldChar w:fldCharType="separate"/>
          </w:r>
          <w:r>
            <w:rPr>
              <w:rStyle w:val="Hyperlink"/>
              <w:rFonts w:cs="Calibri"/>
              <w:noProof/>
            </w:rPr>
            <w:t>III.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ALCANCE</w:t>
          </w:r>
          <w:r>
            <w:rPr>
              <w:noProof/>
              <w:webHidden/>
            </w:rPr>
            <w:tab/>
            <w:fldChar w:fldCharType="begin"/>
            <w:instrText xml:space="preserve"> PAGEREF _Toc176997890 \h </w:instrText>
            <w:fldChar w:fldCharType="separate"/>
            <w:t>8</w:t>
            <w:fldChar w:fldCharType="end"/>
          </w:r>
          <w:r>
            <w:rPr>
              <w:rStyle w:val="Hyperlink"/>
              <w:noProof/>
            </w:rPr>
            <w:fldChar w:fldCharType="end"/>
          </w:r>
        </w:p>
        <w:p w14:paraId="6DAC54F9" w14:textId="63EF9E7C"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"_Toc176997891"</w:instrText>
          </w:r>
          <w:r>
            <w:rPr>
              <w:rStyle w:val="Hyperlink"/>
              <w:noProof/>
            </w:rPr>
            <w:instrText xml:space="preserve"> </w:instrText>
            <w:fldChar w:fldCharType="separate"/>
          </w:r>
          <w:r>
            <w:rPr>
              <w:rStyle w:val="Hyperlink"/>
              <w:rFonts w:cs="Calibri"/>
              <w:noProof/>
            </w:rPr>
            <w:t>IV.</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NORMATIVA APLICABLE</w:t>
          </w:r>
          <w:r>
            <w:rPr>
              <w:noProof/>
              <w:webHidden/>
            </w:rPr>
            <w:tab/>
            <w:fldChar w:fldCharType="begin"/>
            <w:instrText xml:space="preserve"> PAGEREF _Toc176997891 \h </w:instrText>
            <w:fldChar w:fldCharType="separate"/>
            <w:t>8</w:t>
            <w:fldChar w:fldCharType="end"/>
          </w:r>
          <w:r>
            <w:rPr>
              <w:rStyle w:val="Hyperlink"/>
              <w:noProof/>
            </w:rPr>
            <w:fldChar w:fldCharType="end"/>
          </w:r>
        </w:p>
        <w:p w14:paraId="0744D76F" w14:textId="3205DCA6" w:rsidR="00642217" w:rsidRDefault="00642217">
          <w:pPr>
            <w:pStyle w:val="TOC1"/>
            <w:tabs>
              <w:tab w:val="left" w:pos="44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"_Toc176997892"</w:instrText>
          </w:r>
          <w:r>
            <w:rPr>
              <w:rStyle w:val="Hyperlink"/>
              <w:noProof/>
            </w:rPr>
            <w:instrText xml:space="preserve"> </w:instrText>
            <w:fldChar w:fldCharType="separate"/>
          </w:r>
          <w:r>
            <w:rPr>
              <w:rStyle w:val="Hyperlink"/>
              <w:rFonts w:cs="Calibri"/>
              <w:noProof/>
            </w:rPr>
            <w:t>V.</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GLOSARIO</w:t>
          </w:r>
          <w:r>
            <w:rPr>
              <w:noProof/>
              <w:webHidden/>
            </w:rPr>
            <w:tab/>
            <w:fldChar w:fldCharType="begin"/>
            <w:instrText xml:space="preserve"> PAGEREF _Toc176997892 \h </w:instrText>
            <w:fldChar w:fldCharType="separate"/>
            <w:t>9</w:t>
            <w:fldChar w:fldCharType="end"/>
          </w:r>
          <w:r>
            <w:rPr>
              <w:rStyle w:val="Hyperlink"/>
              <w:noProof/>
            </w:rPr>
            <w:fldChar w:fldCharType="end"/>
          </w:r>
        </w:p>
        <w:p w14:paraId="77098447" w14:textId="2330B888"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"_Toc176997893"</w:instrText>
          </w:r>
          <w:r>
            <w:rPr>
              <w:rStyle w:val="Hyperlink"/>
              <w:noProof/>
            </w:rPr>
            <w:instrText xml:space="preserve"> </w:instrText>
            <w:fldChar w:fldCharType="separate"/>
          </w:r>
          <w:r>
            <w:rPr>
              <w:rStyle w:val="Hyperlink"/>
              <w:rFonts w:cs="Calibri"/>
              <w:noProof/>
            </w:rPr>
            <w:t>VI.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ESTRUCTURA ORGANIZATIVA PARA LA PREVENCIÓN DE LOS DELITOS DE LDA/FT/FPADM</w:t>
          </w:r>
          <w:r>
            <w:rPr>
              <w:noProof/>
              <w:webHidden/>
            </w:rPr>
            <w:tab/>
            <w:fldChar w:fldCharType="begin"/>
            <w:instrText xml:space="preserve"> PAGEREF _Toc176997893 \h </w:instrText>
            <w:fldChar w:fldCharType="separate"/>
            <w:t>13</w:t>
            <w:fldChar w:fldCharType="end"/>
          </w:r>
          <w:r>
            <w:rPr>
              <w:rStyle w:val="Hyperlink"/>
              <w:noProof/>
            </w:rPr>
            <w:fldChar w:fldCharType="end"/>
          </w:r>
        </w:p>
        <w:p w14:paraId="43249885" w14:textId="0724DD53"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"_Toc176997894"</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RESPONSABILIDADES GENERALES</w:t>
          </w:r>
          <w:r>
            <w:rPr>
              <w:webHidden/>
            </w:rPr>
            <w:tab/>
            <w:fldChar w:fldCharType="begin"/>
            <w:instrText xml:space="preserve"> PAGEREF _Toc176997894 \h </w:instrText>
            <w:fldChar w:fldCharType="separate"/>
            <w:t>13</w:t>
            <w:fldChar w:fldCharType="end"/>
          </w:r>
          <w:r>
            <w:rPr>
              <w:rStyle w:val="Hyperlink"/>
            </w:rPr>
            <w:fldChar w:fldCharType="end"/>
          </w:r>
        </w:p>
        <w:p w14:paraId="6DFC028D" w14:textId="10C0F43F"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"_Toc176997895"</w:instrText>
          </w:r>
          <w:r>
            <w:rPr>
              <w:rStyle w:val="Hyperlink"/>
            </w:rPr>
            <w:instrText xml:space="preserve"> </w:instrText>
            <w:fldChar w:fldCharType="separate"/>
          </w:r>
          <w:r>
            <w:rPr>
              <w:rStyle w:val="Hyperlink"/>
              <w:rFonts w:cs="Calibri"/>
            </w:rPr>
            <w:t>B.</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RESPONSABILIDADES ESPECÍFICAS</w:t>
          </w:r>
          <w:r>
            <w:rPr>
              <w:webHidden/>
            </w:rPr>
            <w:tab/>
            <w:fldChar w:fldCharType="begin"/>
            <w:instrText xml:space="preserve"> PAGEREF _Toc176997895 \h </w:instrText>
            <w:fldChar w:fldCharType="separate"/>
            <w:t>14</w:t>
            <w:fldChar w:fldCharType="end"/>
          </w:r>
          <w:r>
            <w:rPr>
              <w:rStyle w:val="Hyperlink"/>
            </w:rPr>
            <w:fldChar w:fldCharType="end"/>
          </w:r>
        </w:p>
        <w:p w14:paraId="77FACC10" w14:textId="234CE19F" w:rsidR="00642217" w:rsidRDefault="00642217">
          <w:pPr>
            <w:pStyle w:val="TOC3"/>
            <w:tabs>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"_Toc176997896"</w:instrText>
          </w:r>
          <w:r>
            <w:rPr>
              <w:rStyle w:val="Hyperlink"/>
              <w:noProof/>
            </w:rPr>
            <w:instrText xml:space="preserve"> </w:instrText>
            <w:fldChar w:fldCharType="separate"/>
          </w:r>
          <w:r>
            <w:rPr>
              <w:rStyle w:val="Hyperlink"/>
              <w:rFonts w:ascii="Calibri" w:eastAsia="Calibri" w:hAnsi="Calibri" w:cs="Calibri"/>
              <w:noProof/>
            </w:rPr>
            <w:t>1. Asamblea de Accionistas</w:t>
          </w:r>
          <w:r>
            <w:rPr>
              <w:noProof/>
              <w:webHidden/>
            </w:rPr>
            <w:tab/>
            <w:fldChar w:fldCharType="begin"/>
            <w:instrText xml:space="preserve"> PAGEREF _Toc176997896 \h </w:instrText>
            <w:fldChar w:fldCharType="separate"/>
            <w:t>14</w:t>
            <w:fldChar w:fldCharType="end"/>
          </w:r>
          <w:r>
            <w:rPr>
              <w:rStyle w:val="Hyperlink"/>
              <w:noProof/>
            </w:rPr>
            <w:fldChar w:fldCharType="end"/>
          </w:r>
        </w:p>
        <w:p w14:paraId="6B7370EE" w14:textId="63FB0A51" w:rsidR="00642217" w:rsidRDefault="00642217">
          <w:pPr>
            <w:pStyle w:val="TOC3"/>
            <w:tabs>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"_Toc176997897"</w:instrText>
          </w:r>
          <w:r>
            <w:rPr>
              <w:rStyle w:val="Hyperlink"/>
              <w:noProof/>
            </w:rPr>
            <w:instrText xml:space="preserve"> </w:instrText>
            <w:fldChar w:fldCharType="separate"/>
          </w:r>
          <w:r>
            <w:rPr>
              <w:rStyle w:val="Hyperlink"/>
              <w:rFonts w:ascii="Calibri" w:eastAsia="Calibri" w:hAnsi="Calibri" w:cs="Calibri"/>
              <w:noProof/>
            </w:rPr>
            <w:t xml:space="preserve">2. </w:t>
          </w:r>
          <w:r>
            <w:rPr>
              <w:rStyle w:val="Hyperlink"/>
              <w:rFonts w:ascii="Calibri" w:eastAsia="Calibri" w:hAnsi="Calibri" w:cs="Calibri"/>
              <w:b/>
              <w:noProof/>
            </w:rPr>
            <w:t>OFICIAL DE CUMPLIMIENTO Y OFICIAL DE CUMPLIMIENTO SUPLENTE</w:t>
          </w:r>
          <w:r>
            <w:rPr>
              <w:noProof/>
              <w:webHidden/>
            </w:rPr>
            <w:tab/>
            <w:fldChar w:fldCharType="begin"/>
            <w:instrText xml:space="preserve"> PAGEREF _Toc176997897 \h </w:instrText>
            <w:fldChar w:fldCharType="separate"/>
            <w:t>16</w:t>
            <w:fldChar w:fldCharType="end"/>
          </w:r>
          <w:r>
            <w:rPr>
              <w:rStyle w:val="Hyperlink"/>
              <w:noProof/>
            </w:rPr>
            <w:fldChar w:fldCharType="end"/>
          </w:r>
        </w:p>
        <w:p w14:paraId="46C042B0" w14:textId="516812F8"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"_Toc176997898"</w:instrText>
          </w:r>
          <w:r>
            <w:rPr>
              <w:rStyle w:val="Hyperlink"/>
              <w:noProof/>
            </w:rPr>
            <w:instrText xml:space="preserve"> </w:instrText>
            <w:fldChar w:fldCharType="separate"/>
          </w:r>
          <w:r>
            <w:rPr>
              <w:rStyle w:val="Hyperlink"/>
              <w:rFonts w:cs="Calibri"/>
              <w:noProof/>
            </w:rPr>
            <w:t>VII.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POLÍTICAS DE CONOCIMIENTO DE CLIENTES</w:t>
          </w:r>
          <w:r>
            <w:rPr>
              <w:noProof/>
              <w:webHidden/>
            </w:rPr>
            <w:tab/>
            <w:fldChar w:fldCharType="begin"/>
            <w:instrText xml:space="preserve"> PAGEREF _Toc176997898 \h </w:instrText>
            <w:fldChar w:fldCharType="separate"/>
            <w:t>20</w:t>
            <w:fldChar w:fldCharType="end"/>
          </w:r>
          <w:r>
            <w:rPr>
              <w:rStyle w:val="Hyperlink"/>
              <w:noProof/>
            </w:rPr>
            <w:fldChar w:fldCharType="end"/>
          </w:r>
        </w:p>
        <w:p w14:paraId="58CB26E3" w14:textId="295EF9D0"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"_Toc176997899"</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DEBIDA DILIGENCIA PARA LA IDENTIFICACIÓN Y VINCULACIÓN DE POSIBLES CLIENTES</w:t>
          </w:r>
          <w:r>
            <w:rPr>
              <w:webHidden/>
            </w:rPr>
            <w:tab/>
            <w:fldChar w:fldCharType="begin"/>
            <w:instrText xml:space="preserve"> PAGEREF _Toc176997899 \h </w:instrText>
            <w:fldChar w:fldCharType="separate"/>
            <w:t>21</w:t>
            <w:fldChar w:fldCharType="end"/>
          </w:r>
          <w:r>
            <w:rPr>
              <w:rStyle w:val="Hyperlink"/>
            </w:rPr>
            <w:fldChar w:fldCharType="end"/>
          </w:r>
        </w:p>
        <w:p w14:paraId="049FC136" w14:textId="33EE7C19"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"_Toc176997900"</w:instrText>
          </w:r>
          <w:r>
            <w:rPr>
              <w:rStyle w:val="Hyperlink"/>
              <w:noProof/>
            </w:rPr>
            <w:instrText xml:space="preserve"> </w:instrText>
            <w:fldChar w:fldCharType="separate"/>
          </w:r>
          <w:r>
            <w:rPr>
              <w:rStyle w:val="Hyperlink"/>
              <w:rFonts w:ascii="Calibri" w:eastAsia="Calibri" w:hAnsi="Calibri" w:cs="Calibri"/>
              <w:noProof/>
            </w:rPr>
            <w:t>1.</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Debida Diligencia simplificada.</w:t>
          </w:r>
          <w:r>
            <w:rPr>
              <w:noProof/>
              <w:webHidden/>
            </w:rPr>
            <w:tab/>
            <w:fldChar w:fldCharType="begin"/>
            <w:instrText xml:space="preserve"> PAGEREF _Toc176997900 \h </w:instrText>
            <w:fldChar w:fldCharType="separate"/>
            <w:t>22</w:t>
            <w:fldChar w:fldCharType="end"/>
          </w:r>
          <w:r>
            <w:rPr>
              <w:rStyle w:val="Hyperlink"/>
              <w:noProof/>
            </w:rPr>
            <w:fldChar w:fldCharType="end"/>
          </w:r>
        </w:p>
        <w:p w14:paraId="7FC3F9EC" w14:textId="2EF8A7EC"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"_Toc176997901"</w:instrText>
          </w:r>
          <w:r>
            <w:rPr>
              <w:rStyle w:val="Hyperlink"/>
              <w:noProof/>
            </w:rPr>
            <w:instrText xml:space="preserve"> </w:instrText>
            <w:fldChar w:fldCharType="separate"/>
          </w:r>
          <w:r>
            <w:rPr>
              <w:rStyle w:val="Hyperlink"/>
              <w:rFonts w:ascii="Calibri" w:eastAsia="Calibri" w:hAnsi="Calibri" w:cs="Calibri"/>
              <w:noProof/>
            </w:rPr>
            <w:t>2.</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Debida Diligencia estándar</w:t>
          </w:r>
          <w:r>
            <w:rPr>
              <w:noProof/>
              <w:webHidden/>
            </w:rPr>
            <w:tab/>
            <w:fldChar w:fldCharType="begin"/>
            <w:instrText xml:space="preserve"> PAGEREF _Toc176997901 \h </w:instrText>
            <w:fldChar w:fldCharType="separate"/>
            <w:t>22</w:t>
            <w:fldChar w:fldCharType="end"/>
          </w:r>
          <w:r>
            <w:rPr>
              <w:rStyle w:val="Hyperlink"/>
              <w:noProof/>
            </w:rPr>
            <w:fldChar w:fldCharType="end"/>
          </w:r>
        </w:p>
        <w:p w14:paraId="1C57D39D" w14:textId="3514C4FD"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"_Toc176997902"</w:instrText>
          </w:r>
          <w:r>
            <w:rPr>
              <w:rStyle w:val="Hyperlink"/>
              <w:noProof/>
            </w:rPr>
            <w:instrText xml:space="preserve"> </w:instrText>
            <w:fldChar w:fldCharType="separate"/>
          </w:r>
          <w:r>
            <w:rPr>
              <w:rStyle w:val="Hyperlink"/>
              <w:rFonts w:ascii="Calibri" w:eastAsia="Calibri" w:hAnsi="Calibri" w:cs="Calibri"/>
              <w:noProof/>
            </w:rPr>
            <w:t>3.</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Debida Diligencia intensificada</w:t>
          </w:r>
          <w:r>
            <w:rPr>
              <w:noProof/>
              <w:webHidden/>
            </w:rPr>
            <w:tab/>
            <w:fldChar w:fldCharType="begin"/>
            <w:instrText xml:space="preserve"> PAGEREF _Toc176997902 \h </w:instrText>
            <w:fldChar w:fldCharType="separate"/>
            <w:t>23</w:t>
            <w:fldChar w:fldCharType="end"/>
          </w:r>
          <w:r>
            <w:rPr>
              <w:rStyle w:val="Hyperlink"/>
              <w:noProof/>
            </w:rPr>
            <w:fldChar w:fldCharType="end"/>
          </w:r>
        </w:p>
        <w:p w14:paraId="705DF1B1" w14:textId="75D24014"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"_Toc176997903"</w:instrText>
          </w:r>
          <w:r>
            <w:rPr>
              <w:rStyle w:val="Hyperlink"/>
              <w:noProof/>
            </w:rPr>
            <w:instrText xml:space="preserve"> </w:instrText>
            <w:fldChar w:fldCharType="separate"/>
          </w:r>
          <w:r>
            <w:rPr>
              <w:rStyle w:val="Hyperlink"/>
              <w:rFonts w:ascii="Calibri" w:eastAsia="Calibri" w:hAnsi="Calibri" w:cs="Calibri"/>
              <w:noProof/>
            </w:rPr>
            <w:t>4.</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Debida Diligencia para clientes PEP´s</w:t>
          </w:r>
          <w:r>
            <w:rPr>
              <w:noProof/>
              <w:webHidden/>
            </w:rPr>
            <w:tab/>
            <w:fldChar w:fldCharType="begin"/>
            <w:instrText xml:space="preserve"> PAGEREF _Toc176997903 \h </w:instrText>
            <w:fldChar w:fldCharType="separate"/>
            <w:t>25</w:t>
            <w:fldChar w:fldCharType="end"/>
          </w:r>
          <w:r>
            <w:rPr>
              <w:rStyle w:val="Hyperlink"/>
              <w:noProof/>
            </w:rPr>
            <w:fldChar w:fldCharType="end"/>
          </w:r>
        </w:p>
        <w:p w14:paraId="5F0E1453" w14:textId="77AD181F"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"_Toc176997904"</w:instrText>
          </w:r>
          <w:r>
            <w:rPr>
              <w:rStyle w:val="Hyperlink"/>
              <w:noProof/>
            </w:rPr>
            <w:instrText xml:space="preserve"> </w:instrText>
            <w:fldChar w:fldCharType="separate"/>
          </w:r>
          <w:r>
            <w:rPr>
              <w:rStyle w:val="Hyperlink"/>
              <w:rFonts w:ascii="Calibri" w:eastAsia="Calibri" w:hAnsi="Calibri" w:cs="Calibri"/>
              <w:noProof/>
            </w:rPr>
            <w:t>5.</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Proceso para la Identificación de un PEP.</w:t>
          </w:r>
          <w:r>
            <w:rPr>
              <w:noProof/>
              <w:webHidden/>
            </w:rPr>
            <w:tab/>
            <w:fldChar w:fldCharType="begin"/>
            <w:instrText xml:space="preserve"> PAGEREF _Toc176997904 \h </w:instrText>
            <w:fldChar w:fldCharType="separate"/>
            <w:t>26</w:t>
            <w:fldChar w:fldCharType="end"/>
          </w:r>
          <w:r>
            <w:rPr>
              <w:rStyle w:val="Hyperlink"/>
              <w:noProof/>
            </w:rPr>
            <w:fldChar w:fldCharType="end"/>
          </w:r>
        </w:p>
        <w:p w14:paraId="3A2EAC43" w14:textId="459F74A6"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"_Toc176997905"</w:instrText>
          </w:r>
          <w:r>
            <w:rPr>
              <w:rStyle w:val="Hyperlink"/>
            </w:rPr>
            <w:instrText xml:space="preserve"> </w:instrText>
            <w:fldChar w:fldCharType="separate"/>
          </w:r>
          <w:r>
            <w:rPr>
              <w:rStyle w:val="Hyperlink"/>
              <w:rFonts w:cs="Calibri"/>
            </w:rPr>
            <w:t>B.</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NORMAS GENERALES DE DEBIDA DILIGENCIA</w:t>
          </w:r>
          <w:r>
            <w:rPr>
              <w:webHidden/>
            </w:rPr>
            <w:tab/>
            <w:fldChar w:fldCharType="begin"/>
            <w:instrText xml:space="preserve"> PAGEREF _Toc176997905 \h </w:instrText>
            <w:fldChar w:fldCharType="separate"/>
            <w:t>28</w:t>
            <w:fldChar w:fldCharType="end"/>
          </w:r>
          <w:r>
            <w:rPr>
              <w:rStyle w:val="Hyperlink"/>
            </w:rPr>
            <w:fldChar w:fldCharType="end"/>
          </w:r>
        </w:p>
        <w:p w14:paraId="2B9366B3" w14:textId="57B7603B"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"_Toc176997906"</w:instrText>
          </w:r>
          <w:r>
            <w:rPr>
              <w:rStyle w:val="Hyperlink"/>
              <w:noProof/>
            </w:rPr>
            <w:instrText xml:space="preserve"> </w:instrText>
            <w:fldChar w:fldCharType="separate"/>
          </w:r>
          <w:r>
            <w:rPr>
              <w:rStyle w:val="Hyperlink"/>
              <w:rFonts w:ascii="Calibri" w:eastAsia="Calibri" w:hAnsi="Calibri" w:cs="Calibri"/>
              <w:noProof/>
            </w:rPr>
            <w:t>1.</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Clientes no aceptados</w:t>
          </w:r>
          <w:r>
            <w:rPr>
              <w:noProof/>
              <w:webHidden/>
            </w:rPr>
            <w:tab/>
            <w:fldChar w:fldCharType="begin"/>
            <w:instrText xml:space="preserve"> PAGEREF _Toc176997906 \h </w:instrText>
            <w:fldChar w:fldCharType="separate"/>
            <w:t>28</w:t>
            <w:fldChar w:fldCharType="end"/>
          </w:r>
          <w:r>
            <w:rPr>
              <w:rStyle w:val="Hyperlink"/>
              <w:noProof/>
            </w:rPr>
            <w:fldChar w:fldCharType="end"/>
          </w:r>
        </w:p>
        <w:p w14:paraId="50D7AB21" w14:textId="134E9C40"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"_Toc176997907"</w:instrText>
          </w:r>
          <w:r>
            <w:rPr>
              <w:rStyle w:val="Hyperlink"/>
              <w:noProof/>
            </w:rPr>
            <w:instrText xml:space="preserve"> </w:instrText>
            <w:fldChar w:fldCharType="separate"/>
          </w:r>
          <w:r>
            <w:rPr>
              <w:rStyle w:val="Hyperlink"/>
              <w:rFonts w:ascii="Calibri" w:eastAsia="Calibri" w:hAnsi="Calibri" w:cs="Calibri"/>
              <w:noProof/>
            </w:rPr>
            <w:t>2.</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Procedencia de fondos</w:t>
          </w:r>
          <w:r>
            <w:rPr>
              <w:noProof/>
              <w:webHidden/>
            </w:rPr>
            <w:tab/>
            <w:fldChar w:fldCharType="begin"/>
            <w:instrText xml:space="preserve"> PAGEREF _Toc176997907 \h </w:instrText>
            <w:fldChar w:fldCharType="separate"/>
            <w:t>29</w:t>
            <w:fldChar w:fldCharType="end"/>
          </w:r>
          <w:r>
            <w:rPr>
              <w:rStyle w:val="Hyperlink"/>
              <w:noProof/>
            </w:rPr>
            <w:fldChar w:fldCharType="end"/>
          </w:r>
        </w:p>
        <w:p w14:paraId="7CCD037A" w14:textId="250548E8"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"_Toc176997908"</w:instrText>
          </w:r>
          <w:r>
            <w:rPr>
              <w:rStyle w:val="Hyperlink"/>
              <w:noProof/>
            </w:rPr>
            <w:instrText xml:space="preserve"> </w:instrText>
            <w:fldChar w:fldCharType="separate"/>
          </w:r>
          <w:r>
            <w:rPr>
              <w:rStyle w:val="Hyperlink"/>
              <w:rFonts w:ascii="Calibri" w:eastAsia="Calibri" w:hAnsi="Calibri" w:cs="Calibri"/>
              <w:noProof/>
            </w:rPr>
            <w:t>3.</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Actualización de información de clientes</w:t>
          </w:r>
          <w:r>
            <w:rPr>
              <w:noProof/>
              <w:webHidden/>
            </w:rPr>
            <w:tab/>
            <w:fldChar w:fldCharType="begin"/>
            <w:instrText xml:space="preserve"> PAGEREF _Toc176997908 \h </w:instrText>
            <w:fldChar w:fldCharType="separate"/>
            <w:t>29</w:t>
            <w:fldChar w:fldCharType="end"/>
          </w:r>
          <w:r>
            <w:rPr>
              <w:rStyle w:val="Hyperlink"/>
              <w:noProof/>
            </w:rPr>
            <w:fldChar w:fldCharType="end"/>
          </w:r>
        </w:p>
        <w:p w14:paraId="600B4E23" w14:textId="62D2CB14"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"_Toc176997909"</w:instrText>
          </w:r>
          <w:r>
            <w:rPr>
              <w:rStyle w:val="Hyperlink"/>
              <w:noProof/>
            </w:rPr>
            <w:instrText xml:space="preserve"> </w:instrText>
            <w:fldChar w:fldCharType="separate"/>
          </w:r>
          <w:r>
            <w:rPr>
              <w:rStyle w:val="Hyperlink"/>
              <w:rFonts w:ascii="Calibri" w:eastAsia="Calibri" w:hAnsi="Calibri" w:cs="Calibri"/>
              <w:noProof/>
            </w:rPr>
            <w:t>4.</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Mantenimiento y finalización de relaciones contractuales</w:t>
          </w:r>
          <w:r>
            <w:rPr>
              <w:noProof/>
              <w:webHidden/>
            </w:rPr>
            <w:tab/>
            <w:fldChar w:fldCharType="begin"/>
            <w:instrText xml:space="preserve"> PAGEREF _Toc176997909 \h </w:instrText>
            <w:fldChar w:fldCharType="separate"/>
            <w:t>30</w:t>
            <w:fldChar w:fldCharType="end"/>
          </w:r>
          <w:r>
            <w:rPr>
              <w:rStyle w:val="Hyperlink"/>
              <w:noProof/>
            </w:rPr>
            <w:fldChar w:fldCharType="end"/>
          </w:r>
        </w:p>
        <w:p w14:paraId="2CC1876E" w14:textId="7F312466"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"_Toc176997910"</w:instrText>
          </w:r>
          <w:r>
            <w:rPr>
              <w:rStyle w:val="Hyperlink"/>
              <w:noProof/>
            </w:rPr>
            <w:instrText xml:space="preserve"> </w:instrText>
            <w:fldChar w:fldCharType="separate"/>
          </w:r>
          <w:r>
            <w:rPr>
              <w:rStyle w:val="Hyperlink"/>
              <w:rFonts w:cs="Calibri"/>
              <w:noProof/>
            </w:rPr>
            <w:t>VIII.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POLITICAS DE CONOCIMIENTO DE EMPLEADOS</w:t>
          </w:r>
          <w:r>
            <w:rPr>
              <w:noProof/>
              <w:webHidden/>
            </w:rPr>
            <w:tab/>
            <w:fldChar w:fldCharType="begin"/>
            <w:instrText xml:space="preserve"> PAGEREF _Toc176997910 \h </w:instrText>
            <w:fldChar w:fldCharType="separate"/>
            <w:t>30</w:t>
            <w:fldChar w:fldCharType="end"/>
          </w:r>
          <w:r>
            <w:rPr>
              <w:rStyle w:val="Hyperlink"/>
              <w:noProof/>
            </w:rPr>
            <w:fldChar w:fldCharType="end"/>
          </w:r>
        </w:p>
        <w:p w14:paraId="17756453" w14:textId="79453EF1"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"_Toc176997911"</w:instrText>
          </w:r>
          <w:r>
            <w:rPr>
              <w:rStyle w:val="Hyperlink"/>
              <w:noProof/>
            </w:rPr>
            <w:instrText xml:space="preserve"> </w:instrText>
            <w:fldChar w:fldCharType="separate"/>
          </w:r>
          <w:r>
            <w:rPr>
              <w:rStyle w:val="Hyperlink"/>
              <w:rFonts w:cs="Calibri"/>
              <w:noProof/>
            </w:rPr>
            <w:t>IX.</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POLITICAS DE CONOCIMIENTO DE PROVEEDORES</w:t>
          </w:r>
          <w:r>
            <w:rPr>
              <w:noProof/>
              <w:webHidden/>
            </w:rPr>
            <w:tab/>
            <w:fldChar w:fldCharType="begin"/>
            <w:instrText xml:space="preserve"> PAGEREF _Toc176997911 \h </w:instrText>
            <w:fldChar w:fldCharType="separate"/>
            <w:t>32</w:t>
            <w:fldChar w:fldCharType="end"/>
          </w:r>
          <w:r>
            <w:rPr>
              <w:rStyle w:val="Hyperlink"/>
              <w:noProof/>
            </w:rPr>
            <w:fldChar w:fldCharType="end"/>
          </w:r>
        </w:p>
        <w:p w14:paraId="0D968412" w14:textId="599C3433" w:rsidR="00642217" w:rsidRDefault="00642217">
          <w:pPr>
            <w:pStyle w:val="TOC1"/>
            <w:tabs>
              <w:tab w:val="left" w:pos="44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lastRenderedPageBreak/>
            <w:fldChar w:fldCharType="begin"/>
            <w:instrText xml:space="preserve"> </w:instrText>
          </w:r>
          <w:r>
            <w:rPr>
              <w:noProof/>
            </w:rPr>
            <w:instrText>HYPERLINK \l "_Toc176997912"</w:instrText>
          </w:r>
          <w:r>
            <w:rPr>
              <w:rStyle w:val="Hyperlink"/>
              <w:noProof/>
            </w:rPr>
            <w:instrText xml:space="preserve"> </w:instrText>
            <w:fldChar w:fldCharType="separate"/>
          </w:r>
          <w:r>
            <w:rPr>
              <w:rStyle w:val="Hyperlink"/>
              <w:rFonts w:cs="Calibri"/>
              <w:noProof/>
            </w:rPr>
            <w:t>X.</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POLITICAS PARA EL MONITOREO Y REPORTE DE OPERACIONES IRREGULARES, SOSPECHOSAS Y REGULADAS</w:t>
          </w:r>
          <w:r>
            <w:rPr>
              <w:noProof/>
              <w:webHidden/>
            </w:rPr>
            <w:tab/>
            <w:fldChar w:fldCharType="begin"/>
            <w:instrText xml:space="preserve"> PAGEREF _Toc176997912 \h </w:instrText>
            <w:fldChar w:fldCharType="separate"/>
            <w:t>34</w:t>
            <w:fldChar w:fldCharType="end"/>
          </w:r>
          <w:r>
            <w:rPr>
              <w:rStyle w:val="Hyperlink"/>
              <w:noProof/>
            </w:rPr>
            <w:fldChar w:fldCharType="end"/>
          </w:r>
        </w:p>
        <w:p w14:paraId="625557B1" w14:textId="6F1A60B2"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"_Toc176997913"</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MONITOREO</w:t>
          </w:r>
          <w:r>
            <w:rPr>
              <w:webHidden/>
            </w:rPr>
            <w:tab/>
            <w:fldChar w:fldCharType="begin"/>
            <w:instrText xml:space="preserve"> PAGEREF _Toc176997913 \h </w:instrText>
            <w:fldChar w:fldCharType="separate"/>
            <w:t>35</w:t>
            <w:fldChar w:fldCharType="end"/>
          </w:r>
          <w:r>
            <w:rPr>
              <w:rStyle w:val="Hyperlink"/>
            </w:rPr>
            <w:fldChar w:fldCharType="end"/>
          </w:r>
        </w:p>
        <w:p w14:paraId="7F120121" w14:textId="6E3FD5D9"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"_Toc176997914"</w:instrText>
          </w:r>
          <w:r>
            <w:rPr>
              <w:rStyle w:val="Hyperlink"/>
            </w:rPr>
            <w:instrText xml:space="preserve"> </w:instrText>
            <w:fldChar w:fldCharType="separate"/>
          </w:r>
          <w:r>
            <w:rPr>
              <w:rStyle w:val="Hyperlink"/>
              <w:rFonts w:cs="Calibri"/>
            </w:rPr>
            <w:t>b.</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REPORTE INTERNO DE OPERACIONES IRREGULARES O SOSPECHOSAS</w:t>
          </w:r>
          <w:r>
            <w:rPr>
              <w:webHidden/>
            </w:rPr>
            <w:tab/>
            <w:fldChar w:fldCharType="begin"/>
            <w:instrText xml:space="preserve"> PAGEREF _Toc176997914 \h </w:instrText>
            <w:fldChar w:fldCharType="separate"/>
            <w:t>35</w:t>
            <w:fldChar w:fldCharType="end"/>
          </w:r>
          <w:r>
            <w:rPr>
              <w:rStyle w:val="Hyperlink"/>
            </w:rPr>
            <w:fldChar w:fldCharType="end"/>
          </w:r>
        </w:p>
        <w:p w14:paraId="70C25B67" w14:textId="574EB5D6"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"_Toc176997915"</w:instrText>
          </w:r>
          <w:r>
            <w:rPr>
              <w:rStyle w:val="Hyperlink"/>
            </w:rPr>
            <w:instrText xml:space="preserve"> </w:instrText>
            <w:fldChar w:fldCharType="separate"/>
          </w:r>
          <w:r>
            <w:rPr>
              <w:rStyle w:val="Hyperlink"/>
              <w:rFonts w:cs="Calibri"/>
            </w:rPr>
            <w:t>c.</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ANÁLISIS DE TRANSACCIONES IRREGULARES</w:t>
          </w:r>
          <w:r>
            <w:rPr>
              <w:webHidden/>
            </w:rPr>
            <w:tab/>
            <w:fldChar w:fldCharType="begin"/>
            <w:instrText xml:space="preserve"> PAGEREF _Toc176997915 \h </w:instrText>
            <w:fldChar w:fldCharType="separate"/>
            <w:t>35</w:t>
            <w:fldChar w:fldCharType="end"/>
          </w:r>
          <w:r>
            <w:rPr>
              <w:rStyle w:val="Hyperlink"/>
            </w:rPr>
            <w:fldChar w:fldCharType="end"/>
          </w:r>
        </w:p>
        <w:p w14:paraId="6B39678A" w14:textId="44BBE4FC"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"_Toc176997916"</w:instrText>
          </w:r>
          <w:r>
            <w:rPr>
              <w:rStyle w:val="Hyperlink"/>
            </w:rPr>
            <w:instrText xml:space="preserve"> </w:instrText>
            <w:fldChar w:fldCharType="separate"/>
          </w:r>
          <w:r>
            <w:rPr>
              <w:rStyle w:val="Hyperlink"/>
              <w:rFonts w:cs="Calibri"/>
            </w:rPr>
            <w:t>d.</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REPORTE DE OPERACIONES SOSPECHOSAS (ROS) Y REPORTE DE TENTATIVA DE OPERACIÓN SOSPECHOSA</w:t>
          </w:r>
          <w:r>
            <w:rPr>
              <w:webHidden/>
            </w:rPr>
            <w:tab/>
            <w:fldChar w:fldCharType="begin"/>
            <w:instrText xml:space="preserve"> PAGEREF _Toc176997916 \h </w:instrText>
            <w:fldChar w:fldCharType="separate"/>
            <w:t>37</w:t>
            <w:fldChar w:fldCharType="end"/>
          </w:r>
          <w:r>
            <w:rPr>
              <w:rStyle w:val="Hyperlink"/>
            </w:rPr>
            <w:fldChar w:fldCharType="end"/>
          </w:r>
        </w:p>
        <w:p w14:paraId="14461358" w14:textId="0BAFCD76"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"_Toc176997917"</w:instrText>
          </w:r>
          <w:r>
            <w:rPr>
              <w:rStyle w:val="Hyperlink"/>
            </w:rPr>
            <w:instrText xml:space="preserve"> </w:instrText>
            <w:fldChar w:fldCharType="separate"/>
          </w:r>
          <w:r>
            <w:rPr>
              <w:rStyle w:val="Hyperlink"/>
              <w:rFonts w:cs="Calibri"/>
            </w:rPr>
            <w:t>e.</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REPORTE DE OPERACIONES REGULADAS</w:t>
          </w:r>
          <w:r>
            <w:rPr>
              <w:webHidden/>
            </w:rPr>
            <w:tab/>
            <w:fldChar w:fldCharType="begin"/>
            <w:instrText xml:space="preserve"> PAGEREF _Toc176997917 \h </w:instrText>
            <w:fldChar w:fldCharType="separate"/>
            <w:t>38</w:t>
            <w:fldChar w:fldCharType="end"/>
          </w:r>
          <w:r>
            <w:rPr>
              <w:rStyle w:val="Hyperlink"/>
            </w:rPr>
            <w:fldChar w:fldCharType="end"/>
          </w:r>
        </w:p>
        <w:p w14:paraId="5F60D455" w14:textId="328FBE37"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"_Toc176997918"</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ATENCIÓN DE REQUERIMIENTOS DE INFORMACIÓN</w:t>
          </w:r>
          <w:r>
            <w:rPr>
              <w:webHidden/>
            </w:rPr>
            <w:tab/>
            <w:fldChar w:fldCharType="begin"/>
            <w:instrText xml:space="preserve"> PAGEREF _Toc176997918 \h </w:instrText>
            <w:fldChar w:fldCharType="separate"/>
            <w:t>39</w:t>
            <w:fldChar w:fldCharType="end"/>
          </w:r>
          <w:r>
            <w:rPr>
              <w:rStyle w:val="Hyperlink"/>
            </w:rPr>
            <w:fldChar w:fldCharType="end"/>
          </w:r>
        </w:p>
        <w:p w14:paraId="20BEB804" w14:textId="43F76164"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"_Toc176997919"</w:instrText>
          </w:r>
          <w:r>
            <w:rPr>
              <w:rStyle w:val="Hyperlink"/>
              <w:noProof/>
            </w:rPr>
            <w:instrText xml:space="preserve"> </w:instrText>
            <w:fldChar w:fldCharType="separate"/>
          </w:r>
          <w:r>
            <w:rPr>
              <w:rStyle w:val="Hyperlink"/>
              <w:rFonts w:cs="Calibri"/>
              <w:noProof/>
            </w:rPr>
            <w:t>XI.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MATRIZ DE RIESGO</w:t>
          </w:r>
          <w:r>
            <w:rPr>
              <w:noProof/>
              <w:webHidden/>
            </w:rPr>
            <w:tab/>
            <w:fldChar w:fldCharType="begin"/>
            <w:instrText xml:space="preserve"> PAGEREF _Toc176997919 \h </w:instrText>
            <w:fldChar w:fldCharType="separate"/>
            <w:t>40</w:t>
            <w:fldChar w:fldCharType="end"/>
          </w:r>
          <w:r>
            <w:rPr>
              <w:rStyle w:val="Hyperlink"/>
              <w:noProof/>
            </w:rPr>
            <w:fldChar w:fldCharType="end"/>
          </w:r>
        </w:p>
        <w:p w14:paraId="4FA643F3" w14:textId="55D6AEC9"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"_Toc176997920"</w:instrText>
          </w:r>
          <w:r>
            <w:rPr>
              <w:rStyle w:val="Hyperlink"/>
              <w:noProof/>
            </w:rPr>
            <w:instrText xml:space="preserve"> </w:instrText>
            <w:fldChar w:fldCharType="separate"/>
          </w:r>
          <w:r>
            <w:rPr>
              <w:rStyle w:val="Hyperlink"/>
              <w:rFonts w:cs="Calibri"/>
              <w:noProof/>
            </w:rPr>
            <w:t>XII.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POLÍTICA DE CONFIDENCIALIDAD</w:t>
          </w:r>
          <w:r>
            <w:rPr>
              <w:noProof/>
              <w:webHidden/>
            </w:rPr>
            <w:tab/>
            <w:fldChar w:fldCharType="begin"/>
            <w:instrText xml:space="preserve"> PAGEREF _Toc176997920 \h </w:instrText>
            <w:fldChar w:fldCharType="separate"/>
            <w:t>45</w:t>
            <w:fldChar w:fldCharType="end"/>
          </w:r>
          <w:r>
            <w:rPr>
              <w:rStyle w:val="Hyperlink"/>
              <w:noProof/>
            </w:rPr>
            <w:fldChar w:fldCharType="end"/>
          </w:r>
        </w:p>
        <w:p w14:paraId="38899A98" w14:textId="66924F3C"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"_Toc176997921"</w:instrText>
          </w:r>
          <w:r>
            <w:rPr>
              <w:rStyle w:val="Hyperlink"/>
              <w:noProof/>
            </w:rPr>
            <w:instrText xml:space="preserve"> </w:instrText>
            <w:fldChar w:fldCharType="separate"/>
          </w:r>
          <w:r>
            <w:rPr>
              <w:rStyle w:val="Hyperlink"/>
              <w:rFonts w:cs="Calibri"/>
              <w:noProof/>
            </w:rPr>
            <w:t>XIII.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POLITICAS PARA ARCHIVO Y CONSERVACIÓN DE DOCUMENTOS</w:t>
          </w:r>
          <w:r>
            <w:rPr>
              <w:noProof/>
              <w:webHidden/>
            </w:rPr>
            <w:tab/>
            <w:fldChar w:fldCharType="begin"/>
            <w:instrText xml:space="preserve"> PAGEREF _Toc176997921 \h </w:instrText>
            <w:fldChar w:fldCharType="separate"/>
            <w:t>46</w:t>
            <w:fldChar w:fldCharType="end"/>
          </w:r>
          <w:r>
            <w:rPr>
              <w:rStyle w:val="Hyperlink"/>
              <w:noProof/>
            </w:rPr>
            <w:fldChar w:fldCharType="end"/>
          </w:r>
        </w:p>
        <w:p w14:paraId="11FC807B" w14:textId="19BF5AF0"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"_Toc176997922"</w:instrText>
          </w:r>
          <w:r>
            <w:rPr>
              <w:rStyle w:val="Hyperlink"/>
              <w:noProof/>
            </w:rPr>
            <w:instrText xml:space="preserve"> </w:instrText>
            <w:fldChar w:fldCharType="separate"/>
          </w:r>
          <w:r>
            <w:rPr>
              <w:rStyle w:val="Hyperlink"/>
              <w:rFonts w:cs="Calibri"/>
              <w:noProof/>
            </w:rPr>
            <w:t>XIV.</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POLITICAS PARA LA CAPACITACIÓN</w:t>
          </w:r>
          <w:r>
            <w:rPr>
              <w:noProof/>
              <w:webHidden/>
            </w:rPr>
            <w:tab/>
            <w:fldChar w:fldCharType="begin"/>
            <w:instrText xml:space="preserve"> PAGEREF _Toc176997922 \h </w:instrText>
            <w:fldChar w:fldCharType="separate"/>
            <w:t>47</w:t>
            <w:fldChar w:fldCharType="end"/>
          </w:r>
          <w:r>
            <w:rPr>
              <w:rStyle w:val="Hyperlink"/>
              <w:noProof/>
            </w:rPr>
            <w:fldChar w:fldCharType="end"/>
          </w:r>
        </w:p>
        <w:p w14:paraId="1ED99832" w14:textId="182DC4B3"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"_Toc176997923"</w:instrText>
          </w:r>
          <w:r>
            <w:rPr>
              <w:rStyle w:val="Hyperlink"/>
              <w:noProof/>
            </w:rPr>
            <w:instrText xml:space="preserve"> </w:instrText>
            <w:fldChar w:fldCharType="separate"/>
          </w:r>
          <w:r>
            <w:rPr>
              <w:rStyle w:val="Hyperlink"/>
              <w:rFonts w:cs="Calibri"/>
              <w:noProof/>
            </w:rPr>
            <w:t>XV.</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ÓRGANOS DE CONTROL</w:t>
          </w:r>
          <w:r>
            <w:rPr>
              <w:noProof/>
              <w:webHidden/>
            </w:rPr>
            <w:tab/>
            <w:fldChar w:fldCharType="begin"/>
            <w:instrText xml:space="preserve"> PAGEREF _Toc176997923 \h </w:instrText>
            <w:fldChar w:fldCharType="separate"/>
            <w:t>49</w:t>
            <w:fldChar w:fldCharType="end"/>
          </w:r>
          <w:r>
            <w:rPr>
              <w:rStyle w:val="Hyperlink"/>
              <w:noProof/>
            </w:rPr>
            <w:fldChar w:fldCharType="end"/>
          </w:r>
        </w:p>
        <w:p w14:paraId="1CB081C5" w14:textId="7B10E1D6"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"_Toc176997924"</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AUDITORÍA INTERNA</w:t>
          </w:r>
          <w:r>
            <w:rPr>
              <w:webHidden/>
            </w:rPr>
            <w:tab/>
            <w:fldChar w:fldCharType="begin"/>
            <w:instrText xml:space="preserve"> PAGEREF _Toc176997924 \h </w:instrText>
            <w:fldChar w:fldCharType="separate"/>
            <w:t>49</w:t>
            <w:fldChar w:fldCharType="end"/>
          </w:r>
          <w:r>
            <w:rPr>
              <w:rStyle w:val="Hyperlink"/>
            </w:rPr>
            <w:fldChar w:fldCharType="end"/>
          </w:r>
        </w:p>
        <w:p w14:paraId="3A6F209C" w14:textId="3A08310F"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"_Toc176997925"</w:instrText>
          </w:r>
          <w:r>
            <w:rPr>
              <w:rStyle w:val="Hyperlink"/>
            </w:rPr>
            <w:instrText xml:space="preserve"> </w:instrText>
            <w:fldChar w:fldCharType="separate"/>
          </w:r>
          <w:r>
            <w:rPr>
              <w:rStyle w:val="Hyperlink"/>
              <w:rFonts w:cs="Calibri"/>
            </w:rPr>
            <w:t>B.</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AUDITORIA EXTERNA</w:t>
          </w:r>
          <w:r>
            <w:rPr>
              <w:webHidden/>
            </w:rPr>
            <w:tab/>
            <w:fldChar w:fldCharType="begin"/>
            <w:instrText xml:space="preserve"> PAGEREF _Toc176997925 \h </w:instrText>
            <w:fldChar w:fldCharType="separate"/>
            <w:t>49</w:t>
            <w:fldChar w:fldCharType="end"/>
          </w:r>
          <w:r>
            <w:rPr>
              <w:rStyle w:val="Hyperlink"/>
            </w:rPr>
            <w:fldChar w:fldCharType="end"/>
          </w:r>
        </w:p>
        <w:p w14:paraId="5442C36F" w14:textId="3958C980"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"_Toc176997926"</w:instrText>
          </w:r>
          <w:r>
            <w:rPr>
              <w:rStyle w:val="Hyperlink"/>
              <w:noProof/>
            </w:rPr>
            <w:instrText xml:space="preserve"> </w:instrText>
            <w:fldChar w:fldCharType="separate"/>
          </w:r>
          <w:r>
            <w:rPr>
              <w:rStyle w:val="Hyperlink"/>
              <w:rFonts w:cs="Calibri"/>
              <w:noProof/>
            </w:rPr>
            <w:t>XVI.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SANCIONES</w:t>
          </w:r>
          <w:r>
            <w:rPr>
              <w:noProof/>
              <w:webHidden/>
            </w:rPr>
            <w:tab/>
            <w:fldChar w:fldCharType="begin"/>
            <w:instrText xml:space="preserve"> PAGEREF _Toc176997926 \h </w:instrText>
            <w:fldChar w:fldCharType="separate"/>
            <w:t>50</w:t>
            <w:fldChar w:fldCharType="end"/>
          </w:r>
          <w:r>
            <w:rPr>
              <w:rStyle w:val="Hyperlink"/>
              <w:noProof/>
            </w:rPr>
            <w:fldChar w:fldCharType="end"/>
          </w:r>
        </w:p>
        <w:p w14:paraId="20504D19" w14:textId="0087A8CA"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"_Toc176997927"</w:instrText>
          </w:r>
          <w:r>
            <w:rPr>
              <w:rStyle w:val="Hyperlink"/>
              <w:noProof/>
            </w:rPr>
            <w:instrText xml:space="preserve"> </w:instrText>
            <w:fldChar w:fldCharType="separate"/>
          </w:r>
          <w:r>
            <w:rPr>
              <w:rStyle w:val="Hyperlink"/>
              <w:rFonts w:cs="Calibri"/>
              <w:noProof/>
            </w:rPr>
            <w:t>XVII.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DIVULGACIÓN</w:t>
          </w:r>
          <w:r>
            <w:rPr>
              <w:noProof/>
              <w:webHidden/>
            </w:rPr>
            <w:tab/>
            <w:fldChar w:fldCharType="begin"/>
            <w:instrText xml:space="preserve"> PAGEREF _Toc176997927 \h </w:instrText>
            <w:fldChar w:fldCharType="separate"/>
            <w:t>50</w:t>
            <w:fldChar w:fldCharType="end"/>
          </w:r>
          <w:r>
            <w:rPr>
              <w:rStyle w:val="Hyperlink"/>
              <w:noProof/>
            </w:rPr>
            <w:fldChar w:fldCharType="end"/>
          </w:r>
        </w:p>
        <w:p w14:paraId="43AA6E68" w14:textId="63F12A26" w:rsidR="00642217" w:rsidRDefault="00642217">
          <w:pPr>
            <w:pStyle w:val="TOC1"/>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"_Toc176997928"</w:instrText>
          </w:r>
          <w:r>
            <w:rPr>
              <w:rStyle w:val="Hyperlink"/>
              <w:noProof/>
            </w:rPr>
            <w:instrText xml:space="preserve"> </w:instrText>
            <w:fldChar w:fldCharType="separate"/>
          </w:r>
          <w:r>
            <w:rPr>
              <w:rStyle w:val="Hyperlink"/>
              <w:rFonts w:cs="Calibri"/>
              <w:noProof/>
            </w:rPr>
            <w:t>XVIII.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VIGENCIA Y MODIFICACIONES</w:t>
          </w:r>
          <w:r>
            <w:rPr>
              <w:noProof/>
              <w:webHidden/>
            </w:rPr>
            <w:tab/>
            <w:fldChar w:fldCharType="begin"/>
            <w:instrText xml:space="preserve"> PAGEREF _Toc176997928 \h </w:instrText>
            <w:fldChar w:fldCharType="separate"/>
            <w:t>51</w:t>
            <w:fldChar w:fldCharType="end"/>
          </w:r>
          <w:r>
            <w:rPr>
              <w:rStyle w:val="Hyperlink"/>
              <w:noProof/>
            </w:rPr>
            <w:fldChar w:fldCharType="end"/>
          </w:r>
        </w:p>
        <w:p w14:paraId="2ED57C71" w14:textId="77777777" w:rsidR="001815AC" w:rsidRPr="0057078F" w:rsidRDefault="00000000" w:rsidP="0057078F">
          <w:pPr>
            <w:spacing w:line="276" w:lineRule="auto"/>
            <w:rPr>
              <w:rFonts w:ascii="Calibri" w:eastAsia="Calibri" w:hAnsi="Calibri" w:cs="Calibri"/>
              <w:color w:val="1A1A1A"/>
              <w:sz w:val="24"/>
              <w:szCs w:val="24"/>
            </w:rPr>
          </w:pPr>
          <w:r>
            <w:rPr>
              <w:rFonts w:ascii="Calibri" w:hAnsi="Calibri" w:cs="Calibri"/>
              <w:sz w:val="24"/>
              <w:szCs w:val="24"/>
            </w:rPr>
            <w:fldChar w:fldCharType="end"/>
          </w:r>
        </w:p>
      </w:sdtContent>
    </w:sdt>
    <w:p w14:paraId="4F13BDBD" w14:textId="77777777" w:rsidR="001815AC" w:rsidRPr="0057078F" w:rsidRDefault="001815AC" w:rsidP="0057078F">
      <w:pPr>
        <w:spacing w:line="276" w:lineRule="auto"/>
        <w:rPr>
          <w:rFonts w:ascii="Calibri" w:eastAsia="Calibri" w:hAnsi="Calibri" w:cs="Calibri"/>
          <w:color w:val="1A1A1A"/>
          <w:sz w:val="24"/>
          <w:szCs w:val="24"/>
        </w:rPr>
      </w:pPr>
      <w:bookmarkStart w:id="227" w:name="_heading=h.1fob9te" w:colFirst="0" w:colLast="0"/>
      <w:bookmarkEnd w:id="227"/>
    </w:p>
    <w:p w14:paraId="4362DF77" w14:textId="77777777" w:rsidR="001815AC" w:rsidRPr="0057078F" w:rsidRDefault="001815AC" w:rsidP="0057078F">
      <w:pPr>
        <w:spacing w:line="276" w:lineRule="auto"/>
        <w:rPr>
          <w:rFonts w:ascii="Calibri" w:eastAsia="Calibri" w:hAnsi="Calibri" w:cs="Calibri"/>
          <w:color w:val="1A1A1A"/>
          <w:sz w:val="24"/>
          <w:szCs w:val="24"/>
        </w:rPr>
      </w:pPr>
    </w:p>
    <w:p w14:paraId="4323AFF9" w14:textId="77777777" w:rsidR="001815AC" w:rsidRPr="0057078F" w:rsidRDefault="001815AC" w:rsidP="0057078F">
      <w:pPr>
        <w:spacing w:line="276" w:lineRule="auto"/>
        <w:rPr>
          <w:rFonts w:ascii="Calibri" w:eastAsia="Calibri" w:hAnsi="Calibri" w:cs="Calibri"/>
          <w:color w:val="1A1A1A"/>
          <w:sz w:val="24"/>
          <w:szCs w:val="24"/>
        </w:rPr>
      </w:pPr>
    </w:p>
    <w:p w14:paraId="4B22B1D5" w14:textId="77777777" w:rsidR="001815AC" w:rsidRPr="0057078F" w:rsidRDefault="00000000" w:rsidP="0057078F">
      <w:pPr>
        <w:spacing w:line="276" w:lineRule="auto"/>
        <w:rPr>
          <w:rFonts w:ascii="Calibri" w:eastAsia="Calibri" w:hAnsi="Calibri" w:cs="Calibri"/>
          <w:color w:val="1A1A1A"/>
          <w:sz w:val="24"/>
          <w:szCs w:val="24"/>
        </w:rPr>
      </w:pPr>
      <w:r>
        <w:rPr>
          <w:rFonts w:ascii="Calibri" w:hAnsi="Calibri" w:cs="Calibri"/>
          <w:sz w:val="24"/>
          <w:szCs w:val="24"/>
        </w:rPr>
        <w:br w:type="page"/>
      </w:r>
    </w:p>
    <w:p w14:paraId="0D0D1212" w14:textId="77777777" w:rsidR="001815AC" w:rsidRPr="0057078F" w:rsidRDefault="00000000" w:rsidP="0057078F">
      <w:pPr>
        <w:pBdr>
          <w:top w:val="nil"/>
          <w:left w:val="nil"/>
          <w:bottom w:val="nil"/>
          <w:right w:val="nil"/>
          <w:between w:val="nil"/>
        </w:pBdr>
        <w:tabs>
          <w:tab w:val="right" w:pos="9204"/>
        </w:tabs>
        <w:spacing w:after="0" w:line="276" w:lineRule="auto"/>
        <w:rPr>
          <w:rFonts w:ascii="Calibri" w:eastAsia="Calibri" w:hAnsi="Calibri" w:cs="Calibri"/>
          <w:color w:val="1A1A1A"/>
          <w:sz w:val="24"/>
          <w:szCs w:val="24"/>
        </w:rPr>
      </w:pPr>
    </w:p>
    <w:sdt>
      <w:sdtPr>
        <w:rPr>
          <w:rFonts w:ascii="Calibri" w:hAnsi="Calibri" w:cs="Calibri"/>
          <w:sz w:val="24"/>
          <w:szCs w:val="24"/>
        </w:rPr>
        <w:id w:val="-2003659535"/>
        <w:docPartObj>
          <w:docPartGallery w:val="Table of Contents"/>
          <w:docPartUnique/>
        </w:docPartObj>
      </w:sdtPr>
      <w:sdtContent>
        <w:p w14:paraId="151A6D1D" w14:textId="77777777" w:rsidR="001815AC" w:rsidRPr="0057078F" w:rsidRDefault="001815AC" w:rsidP="0057078F">
          <w:pPr>
            <w:pBdr>
              <w:top w:val="nil"/>
              <w:left w:val="nil"/>
              <w:bottom w:val="nil"/>
              <w:right w:val="nil"/>
              <w:between w:val="nil"/>
            </w:pBdr>
            <w:tabs>
              <w:tab w:val="right" w:pos="9204"/>
            </w:tabs>
            <w:spacing w:after="0" w:line="276" w:lineRule="auto"/>
            <w:rPr>
              <w:rFonts w:ascii="Calibri" w:hAnsi="Calibri" w:cs="Calibri"/>
              <w:color w:val="000000"/>
              <w:sz w:val="24"/>
              <w:szCs w:val="24"/>
            </w:rPr>
          </w:pPr>
          <w:hyperlink w:anchor="_heading=h.2xcytpi"/>
          <w:hyperlink w:anchor="_heading=h.147n2zr"/>
          <w:hyperlink w:anchor="_heading=h.4f1mdlm"/>
          <w:hyperlink w:anchor="_heading=h.2u6wntf"/>
          <w:hyperlink w:anchor="_heading=h.19c6y18"/>
        </w:p>
      </w:sdtContent>
    </w:sdt>
    <w:p w14:paraId="31D8AF47" w14:textId="77777777" w:rsidR="001815AC" w:rsidRPr="0057078F" w:rsidRDefault="00000000" w:rsidP="0057078F">
      <w:pPr>
        <w:spacing w:line="276" w:lineRule="auto"/>
        <w:rPr>
          <w:rFonts w:ascii="Calibri" w:eastAsia="Calibri" w:hAnsi="Calibri" w:cs="Calibri"/>
          <w:color w:val="1A1A1A"/>
          <w:sz w:val="24"/>
          <w:szCs w:val="24"/>
        </w:rPr>
      </w:pPr>
      <w:r>
        <w:rPr>
          <w:rFonts w:ascii="Calibri" w:hAnsi="Calibri" w:cs="Calibri"/>
          <w:sz w:val="24"/>
          <w:szCs w:val="24"/>
        </w:rPr>
        <w:br w:type="page"/>
      </w:r>
    </w:p>
    <w:p w14:paraId="60C9040B" w14:textId="323F04D5" w:rsidR="001815AC" w:rsidRPr="0057078F" w:rsidRDefault="00000000" w:rsidP="0057078F">
      <w:pPr>
        <w:spacing w:line="276" w:lineRule="auto"/>
        <w:jc w:val="center"/>
        <w:rPr>
          <w:rFonts w:ascii="Calibri" w:eastAsia="Calibri" w:hAnsi="Calibri" w:cs="Calibri"/>
          <w:b/>
          <w:color w:val="1A1A1A"/>
          <w:sz w:val="24"/>
          <w:szCs w:val="24"/>
        </w:rPr>
      </w:pPr>
      <w:r>
        <w:rPr>
          <w:rFonts w:ascii="Calibri" w:eastAsia="Calibri" w:hAnsi="Calibri" w:cs="Calibri"/>
          <w:b/>
          <w:color w:val="1A1A1A"/>
          <w:sz w:val="24"/>
          <w:szCs w:val="24"/>
        </w:rPr>
        <w:t xml:space="preserve">MANUAL DE PREVENCIÓN LD/FT/FPADM</w:t>
      </w:r>
    </w:p>
    <w:p>
      <w:pPr>
        <w:spacing w:line="276" w:lineRule="auto"/>
        <w:jc w:val="center"/>
        <w:rPr>
          <w:rFonts w:ascii="Calibri" w:eastAsia="Calibri" w:hAnsi="Calibri" w:cs="Calibri"/>
          <w:b/>
          <w:color w:val="1A1A1A"/>
          <w:sz w:val="24"/>
          <w:szCs w:val="24"/>
        </w:rPr>
      </w:pPr>
      <w:r>
        <w:rPr>
          <w:rFonts w:ascii="Calibri" w:eastAsia="Calibri" w:hAnsi="Calibri" w:cs="Calibri"/>
          <w:b/>
          <w:color w:val="1A1A1A"/>
          <w:sz w:val="24"/>
          <w:szCs w:val="24"/>
        </w:rPr>
        <w:t xml:space="preserve">(Manual de Cumplimiento del Sistema Integral de Prevención del Lavado de Dinero u Otros Activos, del Financiamiento del Terrorismo y del Financiamiento de la Proliferación de Armas de Destrucción Masiva)</w:t>
      </w:r>
    </w:p>
    <w:p w14:paraId="1AACFE41" w14:textId="77777777" w:rsidR="001815AC" w:rsidRPr="0057078F" w:rsidRDefault="00000000" w:rsidP="0057078F">
      <w:pPr>
        <w:pStyle w:val="Heading1"/>
        <w:spacing w:line="276" w:lineRule="auto"/>
        <w:rPr>
          <w:rFonts w:cs="Calibri"/>
        </w:rPr>
      </w:pPr>
      <w:bookmarkStart w:id="229" w:name="_Toc176997886"/>
      <w:r>
        <w:rPr>
          <w:rFonts w:cs="Calibri"/>
        </w:rPr>
        <w:t>INTRODUCCIÓN</w:t>
      </w:r>
      <w:bookmarkEnd w:id="229"/>
    </w:p>
    <w:p w14:paraId="79A2B86F" w14:textId="77777777" w:rsidR="001815AC" w:rsidRPr="0057078F" w:rsidRDefault="001815AC" w:rsidP="0057078F">
      <w:pPr>
        <w:spacing w:line="276" w:lineRule="auto"/>
        <w:rPr>
          <w:rFonts w:ascii="Calibri" w:hAnsi="Calibri" w:cs="Calibri"/>
          <w:sz w:val="24"/>
          <w:szCs w:val="24"/>
        </w:rPr>
      </w:pPr>
    </w:p>
    <w:p w14:paraId="4E9FD0CC" w14:textId="77777777" w:rsidR="0057078F" w:rsidRPr="0057078F" w:rsidRDefault="0057078F" w:rsidP="00027F70">
      <w:pPr>
        <w:spacing w:line="276" w:lineRule="auto"/>
        <w:jc w:val="both"/>
        <w:rPr>
          <w:rFonts w:ascii="Calibri" w:eastAsia="Calibri" w:hAnsi="Calibri" w:cs="Calibri"/>
          <w:color w:val="000000"/>
          <w:sz w:val="24"/>
          <w:szCs w:val="24"/>
          <w:lang w:val="es-ES"/>
        </w:rPr>
      </w:pPr>
      <w:bookmarkStart w:id="232" w:name="_heading=h.2et92p0" w:colFirst="0" w:colLast="0"/>
      <w:bookmarkEnd w:id="232"/>
      <w:r>
        <w:rPr>
          <w:rFonts w:ascii="Calibri" w:eastAsia="Calibri" w:hAnsi="Calibri" w:cs="Calibri"/>
          <w:b/>
          <w:bCs/>
          <w:color w:val="000000"/>
          <w:sz w:val="24"/>
          <w:szCs w:val="24"/>
          <w:lang w:val="es-ES"/>
        </w:rPr>
        <w:t>Propi Tech, Sociedad Anónima</w:t>
      </w:r>
      <w:r>
        <w:rPr>
          <w:rFonts w:ascii="Calibri" w:eastAsia="Calibri" w:hAnsi="Calibri" w:cs="Calibri"/>
          <w:color w:val="000000"/>
          <w:sz w:val="24"/>
          <w:szCs w:val="24"/>
          <w:lang w:val="es-ES"/>
        </w:rPr>
        <w:t xml:space="preserve"> (en adelante, la “Sociedad” o “Propi”) es una entidad cuya actividad principal es la promoción de bienes inmuebles propios o de terceros, a través de una herramienta tecnológica desarrollada internamente. Como </w:t>
      </w:r>
      <w:r>
        <w:rPr>
          <w:rFonts w:ascii="Calibri" w:eastAsia="Calibri" w:hAnsi="Calibri" w:cs="Calibri"/>
          <w:b/>
          <w:bCs/>
          <w:color w:val="000000"/>
          <w:sz w:val="24"/>
          <w:szCs w:val="24"/>
          <w:lang w:val="es-ES"/>
        </w:rPr>
        <w:t>Proptech</w:t>
      </w:r>
      <w:r>
        <w:rPr>
          <w:rFonts w:ascii="Calibri" w:eastAsia="Calibri" w:hAnsi="Calibri" w:cs="Calibri"/>
          <w:color w:val="000000"/>
          <w:sz w:val="24"/>
          <w:szCs w:val="24"/>
          <w:lang w:val="es-ES"/>
        </w:rPr>
        <w:t>, buscamos democratizar el mercado inmobiliario, creando oportunidades para todos los participantes mediante un servicio integral (</w:t>
      </w:r>
      <w:r>
        <w:rPr>
          <w:rFonts w:ascii="Calibri" w:eastAsia="Calibri" w:hAnsi="Calibri" w:cs="Calibri"/>
          <w:b/>
          <w:bCs/>
          <w:color w:val="000000"/>
          <w:sz w:val="24"/>
          <w:szCs w:val="24"/>
          <w:lang w:val="es-ES"/>
        </w:rPr>
        <w:t>end-to-end</w:t>
      </w:r>
      <w:r>
        <w:rPr>
          <w:rFonts w:ascii="Calibri" w:eastAsia="Calibri" w:hAnsi="Calibri" w:cs="Calibri"/>
          <w:color w:val="000000"/>
          <w:sz w:val="24"/>
          <w:szCs w:val="24"/>
          <w:lang w:val="es-ES"/>
        </w:rPr>
        <w:t>) enfocado en la eficiencia y transparencia para propietarios, inquilinos, agentes y desarrolladores inmobiliarios.</w:t>
      </w:r>
    </w:p>
    <w:p w14:paraId="6419FA00" w14:textId="77777777" w:rsidR="0057078F" w:rsidRPr="0057078F" w:rsidRDefault="0057078F" w:rsidP="00027F70">
      <w:pPr>
        <w:spacing w:line="276" w:lineRule="auto"/>
        <w:jc w:val="both"/>
        <w:rPr>
          <w:rFonts w:ascii="Calibri" w:eastAsia="Calibri" w:hAnsi="Calibri" w:cs="Calibri"/>
          <w:color w:val="000000"/>
          <w:sz w:val="24"/>
          <w:szCs w:val="24"/>
          <w:lang w:val="es-ES"/>
        </w:rPr>
      </w:pPr>
    </w:p>
    <w:p w14:paraId="110322CE" w14:textId="77777777" w:rsidR="0057078F" w:rsidRPr="0057078F" w:rsidRDefault="0057078F" w:rsidP="00027F70">
      <w:pPr>
        <w:widowControl w:val="0"/>
        <w:pBdr>
          <w:top w:val="nil"/>
          <w:left w:val="nil"/>
          <w:bottom w:val="nil"/>
          <w:right w:val="nil"/>
          <w:between w:val="nil"/>
        </w:pBdr>
        <w:spacing w:after="0" w:line="276" w:lineRule="auto"/>
        <w:ind w:right="51"/>
        <w:jc w:val="both"/>
        <w:rPr>
          <w:rFonts w:ascii="Calibri" w:eastAsia="Calibri" w:hAnsi="Calibri" w:cs="Calibri"/>
          <w:color w:val="000000"/>
          <w:sz w:val="24"/>
          <w:szCs w:val="24"/>
          <w:lang w:val="es-ES"/>
        </w:rPr>
      </w:pPr>
      <w:r>
        <w:rPr>
          <w:rFonts w:ascii="Calibri" w:eastAsia="Calibri" w:hAnsi="Calibri" w:cs="Calibri"/>
          <w:color w:val="000000"/>
          <w:sz w:val="24"/>
          <w:szCs w:val="24"/>
          <w:lang w:val="es-ES"/>
        </w:rPr>
        <w:t xml:space="preserve">Por consiguiente, Propi Tech, Sociedad Anónima es Persona Obligada de conformidad con el artículo 3, literal c), numeral 1, romano i, del Decreto Número 15-2026 del Congreso de la República, Ley Integral para la Prevención y Represión del Lavado de Dinero u Otros Activos y del Financiamiento del Terrorismo, por dedicarse a la promoción e intermediación inmobiliaria o compraventa de bienes inmuebles, y se encuentra inscrita ante la Superintendencia de Bancos a través de la Intendencia de Verificación Especial (IVE), conforme al artículo 5 de dicha Ley.</w:t>
      </w:r>
    </w:p>
    <w:p w14:paraId="73880DFC" w14:textId="77777777" w:rsidR="001815AC" w:rsidRPr="0057078F" w:rsidRDefault="001815AC" w:rsidP="0057078F">
      <w:pPr>
        <w:spacing w:after="0" w:line="276" w:lineRule="auto"/>
        <w:rPr>
          <w:rFonts w:ascii="Calibri" w:eastAsia="Calibri" w:hAnsi="Calibri" w:cs="Calibri"/>
          <w:color w:val="1A1A1A"/>
          <w:sz w:val="24"/>
          <w:szCs w:val="24"/>
        </w:rPr>
      </w:pPr>
    </w:p>
    <w:p w14:paraId="458D7781" w14:textId="77777777" w:rsidR="001815AC" w:rsidRPr="0057078F" w:rsidRDefault="00000000" w:rsidP="0057078F">
      <w:pPr>
        <w:widowControl w:val="0"/>
        <w:pBdr>
          <w:top w:val="nil"/>
          <w:left w:val="nil"/>
          <w:bottom w:val="nil"/>
          <w:right w:val="nil"/>
          <w:between w:val="nil"/>
        </w:pBdr>
        <w:spacing w:after="0" w:line="276" w:lineRule="auto"/>
        <w:ind w:right="51"/>
        <w:jc w:val="both"/>
        <w:rPr>
          <w:rFonts w:ascii="Calibri" w:eastAsia="Calibri" w:hAnsi="Calibri" w:cs="Calibri"/>
          <w:color w:val="1A1A1A"/>
          <w:sz w:val="24"/>
          <w:szCs w:val="24"/>
        </w:rPr>
      </w:pPr>
      <w:r>
        <w:rPr>
          <w:rFonts w:ascii="Calibri" w:eastAsia="Calibri" w:hAnsi="Calibri" w:cs="Calibri"/>
          <w:b/>
          <w:color w:val="000000"/>
          <w:sz w:val="24"/>
          <w:szCs w:val="24"/>
        </w:rPr>
        <w:t xml:space="preserve">Propi adopta el siguiente manual con el propósito de adecuar, bajo los parámetros de la normativa vigente, las políticas y procedimientos necesarios para controlar y gestionar el riesgo contra el Lavado de Dinero u Otros Activos, el Financiamiento del Terrorismo y el Financiamiento de la Proliferación de Armas de Destrucción Masiva (LD/FT/FPADM), en función de los riesgos a los cuales puede estar expuesta; así mismo su objeto es promover una cultura orientada a utilizar y hacer valer las normas establecidas para la administración del riesgo de “LD/FT/FPADM” lo cual involucra lineamientos de prevención, detección, control y monitoreo de actividades delictivas y sus riesgos asociados.</w:t>
      </w:r>
    </w:p>
    <w:p w14:paraId="5F2E6C8C" w14:textId="77777777" w:rsidR="001815AC" w:rsidRPr="0057078F" w:rsidRDefault="00000000" w:rsidP="0057078F">
      <w:pPr>
        <w:widowControl w:val="0"/>
        <w:pBdr>
          <w:top w:val="nil"/>
          <w:left w:val="nil"/>
          <w:bottom w:val="nil"/>
          <w:right w:val="nil"/>
          <w:between w:val="nil"/>
        </w:pBdr>
        <w:spacing w:after="0" w:line="276" w:lineRule="auto"/>
        <w:ind w:right="51"/>
        <w:jc w:val="both"/>
        <w:rPr>
          <w:rFonts w:ascii="Calibri" w:eastAsia="Calibri" w:hAnsi="Calibri" w:cs="Calibri"/>
          <w:color w:val="1A1A1A"/>
          <w:sz w:val="24"/>
          <w:szCs w:val="24"/>
        </w:rPr>
      </w:pPr>
      <w:r>
        <w:rPr>
          <w:rFonts w:ascii="Calibri" w:eastAsia="Calibri" w:hAnsi="Calibri" w:cs="Calibri"/>
          <w:color w:val="1A1A1A"/>
          <w:sz w:val="24"/>
          <w:szCs w:val="24"/>
        </w:rPr>
        <w:t xml:space="preserve"> </w:t>
      </w:r>
    </w:p>
    <w:p w14:paraId="13072B27" w14:textId="77777777" w:rsidR="001815AC" w:rsidRPr="0057078F" w:rsidRDefault="00000000" w:rsidP="0057078F">
      <w:pPr>
        <w:widowControl w:val="0"/>
        <w:pBdr>
          <w:top w:val="nil"/>
          <w:left w:val="nil"/>
          <w:bottom w:val="nil"/>
          <w:right w:val="nil"/>
          <w:between w:val="nil"/>
        </w:pBdr>
        <w:spacing w:after="0" w:line="276" w:lineRule="auto"/>
        <w:ind w:right="51"/>
        <w:jc w:val="both"/>
        <w:rPr>
          <w:rFonts w:ascii="Calibri" w:eastAsia="Calibri" w:hAnsi="Calibri" w:cs="Calibri"/>
          <w:color w:val="1A1A1A"/>
          <w:sz w:val="24"/>
          <w:szCs w:val="24"/>
        </w:rPr>
      </w:pPr>
      <w:r>
        <w:rPr>
          <w:rFonts w:ascii="Calibri" w:eastAsia="Calibri" w:hAnsi="Calibri" w:cs="Calibri"/>
          <w:color w:val="1A1A1A"/>
          <w:sz w:val="24"/>
          <w:szCs w:val="24"/>
        </w:rPr>
        <w:t>Su finalidad principal consiste en controlar, generar conciencia y exigir reacción sobre la latente posibilidad de ser utilizada para dar apariencia de legalidad a activos provenientes de actividades delictivas o para la canalización de recursos hacia la realización de actividades terroristas.</w:t>
      </w:r>
    </w:p>
    <w:p>
      <w:pPr>
        <w:widowControl w:val="0"/>
        <w:pBdr>
          <w:top w:val="nil"/>
          <w:left w:val="nil"/>
          <w:bottom w:val="nil"/>
          <w:right w:val="nil"/>
          <w:between w:val="nil"/>
        </w:pBdr>
        <w:spacing w:after="0" w:line="276" w:lineRule="auto"/>
        <w:ind w:right="51"/>
        <w:jc w:val="both"/>
        <w:rPr>
          <w:rFonts w:ascii="Calibri" w:eastAsia="Calibri" w:hAnsi="Calibri" w:cs="Calibri"/>
          <w:color w:val="1A1A1A"/>
          <w:sz w:val="24"/>
          <w:szCs w:val="24"/>
        </w:rPr>
      </w:pPr>
      <w:r>
        <w:rPr>
          <w:rFonts w:ascii="Calibri" w:eastAsia="Calibri" w:hAnsi="Calibri" w:cs="Calibri"/>
          <w:color w:val="1A1A1A"/>
          <w:sz w:val="24"/>
          <w:szCs w:val="24"/>
        </w:rPr>
        <w:t xml:space="preserve">Declaración de cumplimiento. Propi declara su compromiso de cumplir el Decreto 15-2026, su reglamentación y las disposiciones de la Superintendencia de Bancos a través de la IVE; de adoptar, ejecutar y mantener los programas, políticas, procedimientos y controles contenidos en este Manual y en sus documentos complementarios; de presentar los reportes y atender los requerimientos de la IVE en la forma y plazo establecidos; de conservar sus registros; de mantener la confidencialidad que la Ley impone; de capacitar a su personal y colaboradores; y de aplicar el régimen disciplinario a quien incumpla estas obligaciones.</w:t>
      </w:r>
    </w:p>
    <w:p>
      <w:pPr>
        <w:widowControl w:val="0"/>
        <w:pBdr>
          <w:top w:val="nil"/>
          <w:left w:val="nil"/>
          <w:bottom w:val="nil"/>
          <w:right w:val="nil"/>
          <w:between w:val="nil"/>
        </w:pBdr>
        <w:spacing w:after="0" w:line="276" w:lineRule="auto"/>
        <w:ind w:right="51"/>
        <w:jc w:val="both"/>
        <w:rPr>
          <w:rFonts w:ascii="Calibri" w:eastAsia="Calibri" w:hAnsi="Calibri" w:cs="Calibri"/>
          <w:color w:val="1A1A1A"/>
          <w:sz w:val="24"/>
          <w:szCs w:val="24"/>
        </w:rPr>
      </w:pPr>
      <w:r>
        <w:rPr>
          <w:rFonts w:ascii="Calibri" w:eastAsia="Calibri" w:hAnsi="Calibri" w:cs="Calibri"/>
          <w:color w:val="1A1A1A"/>
          <w:sz w:val="24"/>
          <w:szCs w:val="24"/>
        </w:rPr>
        <w:t xml:space="preserve">El presente Manual es el documento marco del Sistema Integral de Prevención de Propi. Las políticas, procedimientos, reglamentos, códigos y formatos que lo desarrollan son documentos complementarios independientes, se enumeran en el Anexo «Documentos que integran el Sistema de Prevención», se aplican en su versión vigente y en ningún caso pueden contradecir lo dispuesto en este Manual, el cual prevalece.</w:t>
      </w:r>
    </w:p>
    <w:p w14:paraId="150F270D" w14:textId="77777777" w:rsidR="001815AC" w:rsidRPr="0057078F" w:rsidRDefault="00000000" w:rsidP="0057078F">
      <w:pPr>
        <w:pStyle w:val="Heading1"/>
        <w:spacing w:line="276" w:lineRule="auto"/>
        <w:rPr>
          <w:rFonts w:cs="Calibri"/>
        </w:rPr>
      </w:pPr>
      <w:bookmarkStart w:id="260" w:name="_Toc176997887"/>
      <w:r>
        <w:rPr>
          <w:rFonts w:cs="Calibri"/>
        </w:rPr>
        <w:lastRenderedPageBreak/>
        <w:t>OBJETIVOS</w:t>
      </w:r>
      <w:bookmarkEnd w:id="260"/>
      <w:r>
        <w:rPr>
          <w:rFonts w:cs="Calibri"/>
        </w:rPr>
        <w:t xml:space="preserve"> </w:t>
      </w:r>
    </w:p>
    <w:p w14:paraId="0159D3D3" w14:textId="77777777" w:rsidR="001815AC" w:rsidRPr="0057078F" w:rsidRDefault="00000000" w:rsidP="0057078F">
      <w:pPr>
        <w:pStyle w:val="Heading2"/>
        <w:numPr>
          <w:ilvl w:val="0"/>
          <w:numId w:val="7"/>
        </w:numPr>
        <w:spacing w:line="276" w:lineRule="auto"/>
        <w:rPr>
          <w:rFonts w:cs="Calibri"/>
          <w:b/>
        </w:rPr>
      </w:pPr>
      <w:bookmarkStart w:id="261" w:name="_Toc176997888"/>
      <w:r>
        <w:rPr>
          <w:rFonts w:cs="Calibri"/>
          <w:b/>
        </w:rPr>
        <w:t>GENERALES</w:t>
      </w:r>
      <w:bookmarkEnd w:id="261"/>
      <w:r>
        <w:rPr>
          <w:rFonts w:cs="Calibri"/>
          <w:b/>
        </w:rPr>
        <w:t xml:space="preserve"> </w:t>
      </w:r>
    </w:p>
    <w:p w14:paraId="6E1FFEAC" w14:textId="77777777" w:rsidR="001815AC" w:rsidRPr="0057078F" w:rsidRDefault="001815AC" w:rsidP="0057078F">
      <w:pPr>
        <w:spacing w:line="276" w:lineRule="auto"/>
        <w:rPr>
          <w:rFonts w:ascii="Calibri" w:eastAsia="Calibri" w:hAnsi="Calibri" w:cs="Calibri"/>
          <w:color w:val="1A1A1A"/>
          <w:sz w:val="24"/>
          <w:szCs w:val="24"/>
        </w:rPr>
      </w:pPr>
    </w:p>
    <w:p w14:paraId="5C79EF17"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Contribuir al cumplimiento de los objetivos de </w:t>
      </w:r>
      <w:r>
        <w:rPr>
          <w:rFonts w:ascii="Calibri" w:eastAsia="Calibri" w:hAnsi="Calibri" w:cs="Calibri"/>
          <w:b/>
          <w:color w:val="000000"/>
          <w:sz w:val="24"/>
          <w:szCs w:val="24"/>
        </w:rPr>
        <w:t>Propi</w:t>
      </w:r>
      <w:r>
        <w:rPr>
          <w:rFonts w:ascii="Calibri" w:eastAsia="Calibri" w:hAnsi="Calibri" w:cs="Calibri"/>
          <w:color w:val="1A1A1A"/>
          <w:sz w:val="24"/>
          <w:szCs w:val="24"/>
        </w:rPr>
        <w:t xml:space="preserve">, implementando un Sistema Integral de Prevención contra el LD/FT/FPADM, que contenga principios básicos de comportamiento que debe observar el personal en sus relaciones con clientes, proveedores, y autoridades competentes, buscando prevenir que la sociedad sea utilizada directa o indirectamente para realizar actividades delictivas, especialmente las de LD/FT/FPADM. </w:t>
      </w:r>
    </w:p>
    <w:p w14:paraId="4CD62C3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F6BBC55" w14:textId="77777777" w:rsidR="001815AC" w:rsidRPr="0057078F" w:rsidRDefault="00000000" w:rsidP="0057078F">
      <w:pPr>
        <w:pStyle w:val="Heading2"/>
        <w:numPr>
          <w:ilvl w:val="0"/>
          <w:numId w:val="7"/>
        </w:numPr>
        <w:spacing w:line="276" w:lineRule="auto"/>
        <w:rPr>
          <w:rFonts w:cs="Calibri"/>
          <w:b/>
        </w:rPr>
      </w:pPr>
      <w:bookmarkStart w:id="262" w:name="_Toc176997889"/>
      <w:r>
        <w:rPr>
          <w:rFonts w:cs="Calibri"/>
          <w:b/>
        </w:rPr>
        <w:t>ESPECÍFICOS</w:t>
      </w:r>
      <w:bookmarkEnd w:id="262"/>
    </w:p>
    <w:p w14:paraId="7324EE1B" w14:textId="77777777" w:rsidR="001815AC" w:rsidRPr="0057078F" w:rsidRDefault="00000000" w:rsidP="0057078F">
      <w:pPr>
        <w:pBdr>
          <w:top w:val="nil"/>
          <w:left w:val="nil"/>
          <w:bottom w:val="nil"/>
          <w:right w:val="nil"/>
          <w:between w:val="nil"/>
        </w:pBdr>
        <w:spacing w:after="152" w:line="276" w:lineRule="auto"/>
        <w:ind w:left="284" w:hanging="284"/>
        <w:jc w:val="both"/>
        <w:rPr>
          <w:rFonts w:ascii="Calibri" w:eastAsia="Calibri" w:hAnsi="Calibri" w:cs="Calibri"/>
          <w:color w:val="1A1A1A"/>
          <w:sz w:val="24"/>
          <w:szCs w:val="24"/>
        </w:rPr>
      </w:pPr>
      <w:r>
        <w:rPr>
          <w:rFonts w:ascii="Calibri" w:eastAsia="Calibri" w:hAnsi="Calibri" w:cs="Calibri"/>
          <w:color w:val="1A1A1A"/>
          <w:sz w:val="24"/>
          <w:szCs w:val="24"/>
        </w:rPr>
        <w:t xml:space="preserve">a) Contribuir al cumplimiento de normas, leyes, regulaciones y mejores prácticas en materia de prevención del lavado de dinero u otros activos, del financiamiento del terrorismo y del financiamiento de la proliferación de armas de destrucción masiva (LD/FT/FPADM). </w:t>
      </w:r>
    </w:p>
    <w:p w14:paraId="6ACF6ADB" w14:textId="77777777" w:rsidR="001815AC" w:rsidRPr="0057078F" w:rsidRDefault="00000000" w:rsidP="0057078F">
      <w:pPr>
        <w:pBdr>
          <w:top w:val="nil"/>
          <w:left w:val="nil"/>
          <w:bottom w:val="nil"/>
          <w:right w:val="nil"/>
          <w:between w:val="nil"/>
        </w:pBdr>
        <w:spacing w:after="152" w:line="276" w:lineRule="auto"/>
        <w:ind w:left="284" w:hanging="284"/>
        <w:jc w:val="both"/>
        <w:rPr>
          <w:rFonts w:ascii="Calibri" w:eastAsia="Calibri" w:hAnsi="Calibri" w:cs="Calibri"/>
          <w:color w:val="1A1A1A"/>
          <w:sz w:val="24"/>
          <w:szCs w:val="24"/>
        </w:rPr>
      </w:pPr>
      <w:r>
        <w:rPr>
          <w:rFonts w:ascii="Calibri" w:eastAsia="Calibri" w:hAnsi="Calibri" w:cs="Calibri"/>
          <w:color w:val="1A1A1A"/>
          <w:sz w:val="24"/>
          <w:szCs w:val="24"/>
        </w:rPr>
        <w:t xml:space="preserve">b) Dar a conocer las responsabilidades de la Sociedad frente a los riesgos del LD/FT/FPADM. </w:t>
      </w:r>
    </w:p>
    <w:p w14:paraId="324346B9" w14:textId="77777777" w:rsidR="001815AC" w:rsidRPr="0057078F" w:rsidRDefault="00000000" w:rsidP="0057078F">
      <w:pPr>
        <w:pBdr>
          <w:top w:val="nil"/>
          <w:left w:val="nil"/>
          <w:bottom w:val="nil"/>
          <w:right w:val="nil"/>
          <w:between w:val="nil"/>
        </w:pBdr>
        <w:spacing w:after="152" w:line="276" w:lineRule="auto"/>
        <w:ind w:left="284" w:hanging="284"/>
        <w:jc w:val="both"/>
        <w:rPr>
          <w:rFonts w:ascii="Calibri" w:eastAsia="Calibri" w:hAnsi="Calibri" w:cs="Calibri"/>
          <w:color w:val="1A1A1A"/>
          <w:sz w:val="24"/>
          <w:szCs w:val="24"/>
        </w:rPr>
      </w:pPr>
      <w:r>
        <w:rPr>
          <w:rFonts w:ascii="Calibri" w:eastAsia="Calibri" w:hAnsi="Calibri" w:cs="Calibri"/>
          <w:color w:val="1A1A1A"/>
          <w:sz w:val="24"/>
          <w:szCs w:val="24"/>
        </w:rPr>
        <w:t xml:space="preserve">c) Establecer las bases para incorporar los controles necesarios para mitigar los riesgos de LD/FT/FPADM en los procedimientos y actividades de la Sociedad.  </w:t>
      </w:r>
    </w:p>
    <w:p w14:paraId="59FD0817" w14:textId="77777777" w:rsidR="001815AC" w:rsidRPr="0057078F" w:rsidRDefault="00000000" w:rsidP="0057078F">
      <w:pPr>
        <w:pStyle w:val="Heading1"/>
        <w:spacing w:line="276" w:lineRule="auto"/>
        <w:rPr>
          <w:rFonts w:cs="Calibri"/>
        </w:rPr>
      </w:pPr>
      <w:bookmarkStart w:id="263" w:name="_Toc176997890"/>
      <w:r>
        <w:rPr>
          <w:rFonts w:cs="Calibri"/>
        </w:rPr>
        <w:t>ALCANCE</w:t>
      </w:r>
      <w:bookmarkEnd w:id="263"/>
      <w:r>
        <w:rPr>
          <w:rFonts w:cs="Calibri"/>
        </w:rPr>
        <w:t xml:space="preserve"> </w:t>
      </w:r>
    </w:p>
    <w:p w14:paraId="5B2C2EE0"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presente Manual es de observancia obligatoria para todo el personal de Propi, sus directores, agentes, corredores externos, intermediarios y demás colaboradores, cualquiera que sea la forma jurídica de su contratación; asimismo, aplica a todas las operaciones relacionadas con los servicios prestados por Propi.</w:t>
      </w:r>
    </w:p>
    <w:p w14:paraId="490F1D05" w14:textId="77777777" w:rsidR="001815AC" w:rsidRPr="0057078F" w:rsidRDefault="00000000" w:rsidP="0057078F">
      <w:pPr>
        <w:pStyle w:val="Heading1"/>
        <w:spacing w:line="276" w:lineRule="auto"/>
        <w:rPr>
          <w:rFonts w:cs="Calibri"/>
        </w:rPr>
      </w:pPr>
      <w:bookmarkStart w:id="264" w:name="_Toc176997891"/>
      <w:r>
        <w:rPr>
          <w:rFonts w:cs="Calibri"/>
        </w:rPr>
        <w:t>NORMATIVA APLICABLE</w:t>
      </w:r>
      <w:bookmarkEnd w:id="264"/>
    </w:p>
    <w:p w14:paraId="50C57629" w14:textId="43792BD0" w:rsidR="001815AC" w:rsidRPr="0057078F" w:rsidRDefault="00000000" w:rsidP="0057078F">
      <w:pPr>
        <w:numPr>
          <w:ilvl w:val="0"/>
          <w:numId w:val="14"/>
        </w:numPr>
        <w:spacing w:line="276" w:lineRule="auto"/>
        <w:ind w:left="714" w:hanging="357"/>
        <w:rPr>
          <w:rFonts w:ascii="Calibri" w:eastAsia="Calibri" w:hAnsi="Calibri" w:cs="Calibri"/>
          <w:color w:val="1A1A1A"/>
          <w:sz w:val="24"/>
          <w:szCs w:val="24"/>
        </w:rPr>
      </w:pPr>
      <w:r>
        <w:rPr>
          <w:rFonts w:ascii="Calibri" w:eastAsia="Calibri" w:hAnsi="Calibri" w:cs="Calibri"/>
          <w:color w:val="1A1A1A"/>
          <w:sz w:val="24"/>
          <w:szCs w:val="24"/>
        </w:rPr>
        <w:t xml:space="preserve">Decreto Número 15-2026 del Congreso de la República, Ley Integral para la Prevención y Represión del Lavado de Dinero u Otros Activos y del Financiamiento del Terrorismo (vigente desde el 17 de septiembre de 2026).</w:t>
      </w:r>
    </w:p>
    <w:p>
      <w:pPr>
        <w:numPr>
          <w:ilvl w:val="0"/>
          <w:numId w:val="14"/>
        </w:numPr>
        <w:spacing w:line="276" w:lineRule="auto"/>
        <w:ind w:left="714" w:hanging="357"/>
        <w:rPr>
          <w:rFonts w:ascii="Calibri" w:eastAsia="Calibri" w:hAnsi="Calibri" w:cs="Calibri"/>
          <w:color w:val="1A1A1A"/>
          <w:sz w:val="24"/>
          <w:szCs w:val="24"/>
        </w:rPr>
      </w:pPr>
      <w:r>
        <w:rPr>
          <w:rFonts w:ascii="Calibri" w:eastAsia="Calibri" w:hAnsi="Calibri" w:cs="Calibri"/>
          <w:color w:val="1A1A1A"/>
          <w:sz w:val="24"/>
          <w:szCs w:val="24"/>
        </w:rPr>
        <w:t xml:space="preserve">El Reglamento de la Ley Integral, una vez emitido conforme a su artículo 127, y las disposiciones administrativas que emita la Superintendencia de Bancos a través de la Intendencia de Verificación Especial (artículo 52, literal e).</w:t>
      </w:r>
    </w:p>
    <w:p>
      <w:pPr>
        <w:numPr>
          <w:ilvl w:val="0"/>
          <w:numId w:val="14"/>
        </w:numPr>
        <w:spacing w:line="276" w:lineRule="auto"/>
        <w:ind w:left="714" w:hanging="357"/>
        <w:rPr>
          <w:rFonts w:ascii="Calibri" w:eastAsia="Calibri" w:hAnsi="Calibri" w:cs="Calibri"/>
          <w:color w:val="1A1A1A"/>
          <w:sz w:val="24"/>
          <w:szCs w:val="24"/>
        </w:rPr>
      </w:pPr>
      <w:r>
        <w:rPr>
          <w:rFonts w:ascii="Calibri" w:eastAsia="Calibri" w:hAnsi="Calibri" w:cs="Calibri"/>
          <w:color w:val="1A1A1A"/>
          <w:sz w:val="24"/>
          <w:szCs w:val="24"/>
        </w:rPr>
        <w:t xml:space="preserve">Las resoluciones del Consejo de Seguridad de las Naciones Unidas en materia de terrorismo, financiamiento del terrorismo y financiamiento de la proliferación de armas de destrucción masiva (artículo 43).</w:t>
      </w:r>
    </w:p>
    <w:p>
      <w:pPr>
        <w:numPr>
          <w:ilvl w:val="0"/>
          <w:numId w:val="14"/>
        </w:numPr>
        <w:spacing w:line="276" w:lineRule="auto"/>
        <w:ind w:left="714" w:hanging="357"/>
        <w:rPr>
          <w:rFonts w:ascii="Calibri" w:eastAsia="Calibri" w:hAnsi="Calibri" w:cs="Calibri"/>
          <w:color w:val="1A1A1A"/>
          <w:sz w:val="24"/>
          <w:szCs w:val="24"/>
        </w:rPr>
      </w:pPr>
      <w:r>
        <w:rPr>
          <w:rFonts w:ascii="Calibri" w:eastAsia="Calibri" w:hAnsi="Calibri" w:cs="Calibri"/>
          <w:color w:val="1A1A1A"/>
          <w:sz w:val="24"/>
          <w:szCs w:val="24"/>
        </w:rPr>
        <w:t xml:space="preserve">Las Recomendaciones del Grupo de Acción Financiera Internacional (GAFI), como estándar de referencia.</w:t>
      </w:r>
    </w:p>
    <w:p>
      <w:pPr>
        <w:numPr>
          <w:ilvl w:val="0"/>
          <w:numId w:val="14"/>
        </w:numPr>
        <w:spacing w:line="276" w:lineRule="auto"/>
        <w:ind w:left="714" w:hanging="357"/>
        <w:rPr>
          <w:rFonts w:ascii="Calibri" w:eastAsia="Calibri" w:hAnsi="Calibri" w:cs="Calibri"/>
          <w:color w:val="1A1A1A"/>
          <w:sz w:val="24"/>
          <w:szCs w:val="24"/>
        </w:rPr>
      </w:pPr>
      <w:r>
        <w:rPr>
          <w:rFonts w:ascii="Calibri" w:eastAsia="Calibri" w:hAnsi="Calibri" w:cs="Calibri"/>
          <w:color w:val="1A1A1A"/>
          <w:sz w:val="24"/>
          <w:szCs w:val="24"/>
        </w:rPr>
        <w:t xml:space="preserve">El Decreto 15-2026 derogó la Ley Contra el Lavado de Dinero u Otros Activos (Decreto 67-2001) y la Ley para Prevenir y Reprimir el Financiamiento del Terrorismo (Decreto 58-2005) (artículo 126), y dispone que toda referencia a dichas leyes contenida en la legislación, reglamentos u otras disposiciones aplicables se entienda hecha a la Ley Integral (artículo 125). En congruencia con ello, y en tanto se actualizan, toda referencia a las leyes derogadas contenida en las políticas, procedimientos, formularios y demás documentos internos de Propi se entenderá hecha al Decreto 15-2026 y a su reglamentación.</w:t>
      </w:r>
    </w:p>
    <w:p w14:paraId="4252EDF8" w14:textId="77777777" w:rsidR="001815AC" w:rsidRPr="0057078F" w:rsidRDefault="00000000" w:rsidP="0057078F">
      <w:pPr>
        <w:pStyle w:val="Heading1"/>
        <w:spacing w:line="276" w:lineRule="auto"/>
        <w:rPr>
          <w:rFonts w:cs="Calibri"/>
        </w:rPr>
      </w:pPr>
      <w:bookmarkStart w:id="284" w:name="_Toc176997892"/>
      <w:r>
        <w:rPr>
          <w:rFonts w:cs="Calibri"/>
        </w:rPr>
        <w:t>GLOSARIO</w:t>
      </w:r>
      <w:bookmarkEnd w:id="284"/>
    </w:p>
    <w:p w14:paraId="2D48EEF9" w14:textId="1A7EC786" w:rsidR="003E3C2C" w:rsidRPr="0057078F" w:rsidRDefault="003E3C2C"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Archivo o Registro: conjunto de datos y documentos que se mantengan o almacenen en formato impreso, o mediante medios electrónicos, ópticos o cualquier otra tecnología, siempre que, en estos medios, se garantice la integridad e inalterabilidad de la información desde el momento en que fue generada en su forma definitiva y que sea accesible para consultas posteriores.</w:t>
      </w:r>
    </w:p>
    <w:p w14:paraId="240A2A81" w14:textId="7D11C1E8"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Armas de Destrucción Masiva: de conformidad con la resolución Nº 687 del Consejo de Seguridad de Naciones Unidas, son las armas nucleares, químicas y biológicas, y sus sistemas de lanzamiento.</w:t>
      </w:r>
    </w:p>
    <w:p w14:paraId="322D43F6" w14:textId="7A8E71AA" w:rsidR="003E3C2C" w:rsidRPr="0057078F" w:rsidRDefault="003E3C2C"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Asociados cercanos: personas individuales que, respecto de una Persona Expuesta Políticamente, figuren como socios, accionistas, representantes legales, directores o apoderados en común con ella en personas jurídicas o estructuras jurídicas, o que sean beneficiarios finales de esas mismas entidades (artículo 2, literal a, del Decreto 15-2026).</w:t>
      </w:r>
    </w:p>
    <w:p w14:paraId="350D4B04"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Beneficiario final: persona individual que, en última instancia y por cualquier medio o mecanismo, se beneficie de las relaciones de negocios, ejerce el control efectivo, o ambas, de las personas jurídicas o estructuras jurídicas, ya sea por medio de la titularidad del capital o participación en un porcentaje igual o mayor al quince por ciento (≥ 15 %), o por cualquier otro medio, en forma directa o indirecta. La propiedad y el control en última instancia comprenden el control directo o indirecto, solo o conjuntamente, incluso a través de una cadena de propiedad o por medio de la toma de decisiones (artículo 2, literal b).</w:t>
      </w:r>
    </w:p>
    <w:p w14:paraId="5A039C1D"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Cliente: persona individual, persona jurídica o estructura jurídica con la cual Propi establece, mantiene o ha mantenido una relación de negocios, a la cual se le proporciona o presta cualquier bien, producto o servicio, de forma habitual u ocasional, derivado de su giro de negocios, independientemente de cómo se le denomine (artículo 2, literal c).</w:t>
      </w:r>
    </w:p>
    <w:p w14:paraId="5788DF33" w14:textId="3A06F81C"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Contrapartes: personas individuales o jurídicas con las cuales se tienen vínculos de negocios, contractuales o jurídicos de cualquier orden.</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Contratista y Proveedor del Estado: personas individuales o jurídicas que suscriben contratos bajo cualquier modalidad de adquisición pública o que se encuentran inscritas y precalificadas en el Registro General de Adquisiciones del Estado (artículo 2, literales d y h); dan lugar a medidas de debida diligencia adicionales (artículo 25, literal b).</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Cónyuge o conviviente: persona unida a la PEP por matrimonio o por unión de hecho, incluida la relación estable de convivencia aunque no esté formalizada.</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Debida diligencia del cliente (DDC): proceso de análisis conforme a las normas, políticas, procedimientos y controles de Propi que permite identificar, conocer y verificar la identidad de los clientes, de quienes actúan en su nombre y de sus beneficiarios finales, el propósito de la relación de negocios y las transacciones que realicen (artículo 2, literal e).</w:t>
      </w:r>
    </w:p>
    <w:p w14:paraId="0F9C975A" w14:textId="12547DD2" w:rsidR="00700EB3" w:rsidRPr="0057078F" w:rsidRDefault="00700EB3" w:rsidP="0057078F">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Destrucción de Registros: proceso mediante el cual se elimina de manera definitiva la información almacenada en los archivos, tanto en formato físico como electrónico, tras cumplir con los requisitos de tiempo y relevancia establecidos.</w:t>
      </w:r>
    </w:p>
    <w:p>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Estructura jurídica: forma de integración o asociación de personas jurídicas o individuales constituida conforme a las leyes de Guatemala o de otra jurisdicción, sin importar su naturaleza, incluidos los fideicomisos y fundaciones, y aquellas que no hayan sido formalizadas como personas jurídicas (artículo 2, literal f).</w:t>
      </w:r>
    </w:p>
    <w:p w14:paraId="581D2FC9" w14:textId="6303802D" w:rsidR="0057078F" w:rsidRPr="0057078F" w:rsidRDefault="0057078F" w:rsidP="0057078F">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bCs/>
          <w:color w:val="1A1A1A"/>
          <w:sz w:val="24"/>
          <w:szCs w:val="24"/>
          <w:lang w:val="es-ES"/>
        </w:rPr>
        <w:t xml:space="preserve">Financiamiento de la Proliferación de Armas de Destrucción Masiva (FPADM): provisión de recursos, dinero o apoyo financiero utilizado para desarrollar, adquirir, fabricar o distribuir armas de destrucción masiva, como armas nucleares, químicas o biológicas.</w:t>
      </w:r>
    </w:p>
    <w:p>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bCs/>
          <w:color w:val="1A1A1A"/>
          <w:sz w:val="24"/>
          <w:szCs w:val="24"/>
          <w:lang w:val="es-ES"/>
        </w:rPr>
        <w:t xml:space="preserve">Financiamiento del Terrorismo (FT): conducta de quien, por el medio que fuere, directa o indirectamente, proporcione, provea, done, recolecte, transfiera, entregue, adquiera, posea, administre, negocie o gestione fondos, dinero, recursos económicos, activos o cualquier clase de bienes con la intención o a sabiendas de que serán utilizados, en todo o en parte, para el terrorismo, en los términos del artículo 78 del Decreto 15-2026.</w:t>
      </w:r>
    </w:p>
    <w:p w14:paraId="5F798EF4" w14:textId="723130D0" w:rsidR="003E3C2C" w:rsidRPr="0057078F" w:rsidRDefault="003E3C2C" w:rsidP="0057078F">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Firma Electrónica Avanzada: conjunto de datos electrónicos que acompañan o están lógicamente asociados a un mensaje de datos, los cuales permiten identificar al firmante y aseguran la integridad de la información firmada, de manera que cualquier modificación posterior sea detectable. La firma debe estar vinculada de forma única al firmante y ser creada bajo su control exclusivo. Resultado de utilizar un certificado digital y otras medidas de seguridad para firmar electrónicamente un documento.</w:t>
      </w:r>
    </w:p>
    <w:p>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Intendencia de Verificación Especial (IVE): intendencia que forma parte de la estructura orgánica de la Superintendencia de Bancos, encargada de la recepción y análisis de información y, cuando proceda, de la difusión de inteligencia financiera a las autoridades competentes, así como de la supervisión de las Personas Obligadas en materia LD/FT; ejerce sus funciones en el ámbito estrictamente administrativo (artículos 51 y 52 del Decreto 15-2026). La persecución penal corresponde al Ministerio Público.</w:t>
      </w:r>
    </w:p>
    <w:p w14:paraId="3A1AD6B2" w14:textId="57677764" w:rsidR="0057078F" w:rsidRPr="0057078F" w:rsidRDefault="0057078F"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Lavado de Dinero u Otros Activos (LD): conducta tipificada en el artículo 73 del Decreto 15-2026, consistente en invertir, convertir, transferir, adquirir, poseer, administrar, tener, utilizar, ocultar o impedir la determinación de la verdadera naturaleza u origen de bienes o dinero, sabiendo que son producto, proceden o se originan de la comisión de un delito.</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Oficial de Cumplimiento: funcionario o ejecutivo de alta gerencia, nombrado por el órgano de dirección superior de Propi junto con su suplente, encargado de vigilar el cumplimiento de los Programas de Prevención LD/FT/FPADM y de las obligaciones que establece el Decreto 15-2026, su reglamentación y demás disposiciones aplicables; es el único enlace entre Propi y la Superintendencia de Bancos a través de la IVE (artículo 16).</w:t>
      </w:r>
    </w:p>
    <w:p w14:paraId="3EA30165"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PEP: Persona Expuesta Políticamente. </w:t>
      </w:r>
    </w:p>
    <w:p w14:paraId="0E79594F" w14:textId="77A38396" w:rsidR="001815AC" w:rsidRPr="0057078F" w:rsidRDefault="00000000" w:rsidP="0057078F">
      <w:pPr>
        <w:numPr>
          <w:ilvl w:val="1"/>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lang w:val="es-ES"/>
        </w:rPr>
        <w:t xml:space="preserve">Persona individual que desempeña o haya desempeñado cargos públicos prominentes en Guatemala o en otro país, o a quien se le ha confiado una función prominente en una organización internacional. Los cargos públicos prominentes son los que establezca la Superintendencia de Bancos mediante la resolución anual prevista en el artículo 2, literal g), del Decreto 15-2026.</w:t>
      </w:r>
    </w:p>
    <w:p w14:paraId="73DA02FB" w14:textId="4EC735D4" w:rsidR="001815AC" w:rsidRPr="0057078F" w:rsidRDefault="00000000" w:rsidP="0057078F">
      <w:pPr>
        <w:numPr>
          <w:ilvl w:val="1"/>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condición de PEP se adquiere desde la toma legal de posesión del cargo y se mantiene durante un (1) año posterior al cese de las funciones, vencido el cual la persona deja de ser considerada PEP sin necesidad de trámite alguno. La condición de PEP es de carácter preventivo y no limita por sí sola el acceso a los servicios de Propi.</w:t>
      </w:r>
    </w:p>
    <w:p>
      <w:pPr>
        <w:numPr>
          <w:ilvl w:val="1"/>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Persona Obligada: persona individual o jurídica comprendida en el artículo 3 del Decreto 15-2026. Propi lo es en virtud de la literal c), numeral 1, romano i, de dicho artículo.</w:t>
      </w:r>
    </w:p>
    <w:p w14:paraId="08DA7980" w14:textId="4E96DD62" w:rsidR="003E3C2C" w:rsidRPr="0057078F" w:rsidRDefault="003E3C2C"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Personas vinculadas a una PEP: para efectos de las medidas de debida diligencia adicionales del artículo 25, literal a), del Decreto 15-2026, son los parientes de la PEP dentro del primer grado de consanguinidad, su cónyuge o conviviente y sus asociados cercanos, incluidas las personas jurídicas o estructuras jurídicas en las que estos sean beneficiarios finales.</w:t>
      </w:r>
    </w:p>
    <w:p w14:paraId="0DB14AA7" w14:textId="17112C3A"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Proliferación de Armas de Destrucción Masiva: es todo acto que provea fondos o utilice servicios financieros, en todo o en parte, para la fabricación, adquisición, posesión, desarrollo, exportación, trasiego de material, fraccionamiento, transporte, transferencia, depósito o uso de armas nucleares, químicas o biológicas, o de sus medios de lanzamiento.</w:t>
      </w:r>
    </w:p>
    <w:p w14:paraId="658998B2"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Proveedor: persona individual o jurídica que abastece de productos o servicios a Propi.</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Relación de negocios: cualquier relación contractual, profesional, comercial o de servicios entre Propi y el cliente (artículo 2, literal j). Para Propi se inicia con la reserva del inmueble o con la firma del contrato de Alianza Comercial o del contrato que corresponda según la contraparte, y se entiende finalizada con el pago de la última comisión a la Sociedad.</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Reporte de Transacción Sospechosa (RTS): reporte que Propi, a través de su Oficial de Cumplimiento, remite con prontitud, de forma exclusiva y confidencial, a la Superintendencia de Bancos a través de la IVE respecto de toda transacción sospechosa (artículo 30).</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Riesgo LD/FT/FPADM: contingencia de pérdida, daño u otra consecuencia adversa a que está expuesta Propi de ser utilizada, directa o indirectamente, para actividades de lavado de dinero u otros activos, financiamiento del terrorismo o financiamiento de la proliferación de armas de destrucción masiva (artículo 2, literal k).</w:t>
      </w:r>
    </w:p>
    <w:p w14:paraId="6AB3CF0F"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Señales de alerta: hechos, situaciones, eventos, indicadores cuantitativos y cualitativos, a partir de los cuales se puede inferir la posible existencia de un hecho o situación que pueda estar relacionada a una actividad ilícita.</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Sospecha: apreciación razonada y documentada, basada en indicios objetivos o verificables, que genere motivos razonables para considerar una posible vinculación de una transacción con el LD/FT, sin que sea necesaria la certeza técnica o la prueba plena de la comisión de un ilícito (artículo 2, literal l).</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Transacción: toda operación financiera o comercial que implique la transferencia, adquisición, depósito, retiro, intercambio o administración de fondos, bienes, valores u otros activos, realizada por un cliente o por un tercero en su nombre, a través de Propi, siempre que genere un registro verificable, implique la movilización o disposición de activos y corresponda a los servicios regulados que presta (artículo 2, literal m).</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Transacción inusual: transacción, operación o acto que por su monto, características o frecuencia no se ajusta al perfil de riesgo del cliente, sin una justificación económica o legal razonable (artículo 2, literal n).</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Transacción sospechosa: transacción inusual, concluida o no, debidamente examinada y documentada por Propi que, tras analizarla y aplicar las medidas de debida diligencia, carece de fundamento económico o legal evidente y respecto de la cual Propi sospecha o tiene motivos razonables para sospechar que los fondos proceden o se destinan a una actividad delictiva o al financiamiento del terrorismo (artículo 2, literal o).</w:t>
      </w:r>
    </w:p>
    <w:p>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Transacciones en efectivo sujetas a registro y reporte: toda transacción en efectivo, única o estructurada, que Propi reciba de sus clientes por un monto igual o mayor a diez mil dólares de los Estados Unidos de América (US$ 10,000.00) o su equivalente en moneda nacional o cualquier otra divisa, que debe registrarse diariamente y reportarse periódicamente a la IVE (artículo 31). Los umbrales aplicables a transacciones por otros medios se rigen por el Procedimiento de Reportes vigente.</w:t>
      </w:r>
    </w:p>
    <w:p w14:paraId="2AA2C6FF" w14:textId="77777777" w:rsidR="001815AC" w:rsidRPr="0057078F" w:rsidRDefault="00000000" w:rsidP="0057078F">
      <w:pPr>
        <w:pStyle w:val="Heading1"/>
        <w:spacing w:line="276" w:lineRule="auto"/>
        <w:rPr>
          <w:rFonts w:cs="Calibri"/>
        </w:rPr>
      </w:pPr>
      <w:bookmarkStart w:id="346" w:name="_Toc176997893"/>
      <w:r>
        <w:rPr>
          <w:rFonts w:cs="Calibri"/>
        </w:rPr>
        <w:t xml:space="preserve">ESTRUCTURA ORGANIZATIVA PARA LA PREVENCIÓN DE LOS DELITOS DE LD/FT/FPADM</w:t>
      </w:r>
      <w:bookmarkEnd w:id="346"/>
    </w:p>
    <w:p w14:paraId="41B8F8EE" w14:textId="77777777" w:rsidR="001815AC" w:rsidRPr="0057078F" w:rsidRDefault="001815AC" w:rsidP="0057078F">
      <w:pPr>
        <w:spacing w:line="276" w:lineRule="auto"/>
        <w:rPr>
          <w:rFonts w:ascii="Calibri" w:eastAsia="Calibri" w:hAnsi="Calibri" w:cs="Calibri"/>
          <w:color w:val="1A1A1A"/>
          <w:sz w:val="24"/>
          <w:szCs w:val="24"/>
        </w:rPr>
      </w:pPr>
    </w:p>
    <w:p w14:paraId="7032A98F" w14:textId="77777777" w:rsidR="001815AC" w:rsidRPr="0057078F" w:rsidRDefault="00000000" w:rsidP="0057078F">
      <w:pPr>
        <w:pStyle w:val="Heading2"/>
        <w:numPr>
          <w:ilvl w:val="0"/>
          <w:numId w:val="5"/>
        </w:numPr>
        <w:spacing w:line="276" w:lineRule="auto"/>
        <w:rPr>
          <w:rFonts w:cs="Calibri"/>
        </w:rPr>
      </w:pPr>
      <w:bookmarkStart w:id="347" w:name="_Toc176997894"/>
      <w:r>
        <w:rPr>
          <w:rFonts w:cs="Calibri"/>
        </w:rPr>
        <w:t>RESPONSABILIDADES GENERALES</w:t>
      </w:r>
      <w:bookmarkEnd w:id="347"/>
      <w:r>
        <w:rPr>
          <w:rFonts w:cs="Calibri"/>
        </w:rPr>
        <w:t xml:space="preserve"> </w:t>
      </w:r>
    </w:p>
    <w:p w14:paraId="629FD0C1"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818550E"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principal deber del personal de </w:t>
      </w:r>
      <w:r>
        <w:rPr>
          <w:rFonts w:ascii="Calibri" w:eastAsia="Calibri" w:hAnsi="Calibri" w:cs="Calibri"/>
          <w:b/>
          <w:color w:val="000000"/>
          <w:sz w:val="24"/>
          <w:szCs w:val="24"/>
        </w:rPr>
        <w:t>Propi</w:t>
      </w:r>
      <w:r>
        <w:rPr>
          <w:rFonts w:ascii="Calibri" w:eastAsia="Calibri" w:hAnsi="Calibri" w:cs="Calibri"/>
          <w:color w:val="000000"/>
          <w:sz w:val="24"/>
          <w:szCs w:val="24"/>
        </w:rPr>
        <w:t>,</w:t>
      </w:r>
      <w:r>
        <w:rPr>
          <w:rFonts w:ascii="Calibri" w:eastAsia="Calibri" w:hAnsi="Calibri" w:cs="Calibri"/>
          <w:color w:val="1A1A1A"/>
          <w:sz w:val="24"/>
          <w:szCs w:val="24"/>
        </w:rPr>
        <w:t xml:space="preserve"> es mantener un estricto compromiso con las normas, políticas y procedimientos sobre la prevención y control de los riesgos de LD/FT/FPADM, el cual se refleja en el cumplimiento de los siguientes deberes: </w:t>
      </w:r>
    </w:p>
    <w:p w14:paraId="4883C4D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22436C5" w14:textId="77777777" w:rsidR="001815AC" w:rsidRPr="0057078F" w:rsidRDefault="00000000" w:rsidP="0057078F">
      <w:pPr>
        <w:pBdr>
          <w:top w:val="nil"/>
          <w:left w:val="nil"/>
          <w:bottom w:val="nil"/>
          <w:right w:val="nil"/>
          <w:between w:val="nil"/>
        </w:pBdr>
        <w:spacing w:after="152" w:line="276" w:lineRule="auto"/>
        <w:ind w:left="568" w:hanging="284"/>
        <w:jc w:val="both"/>
        <w:rPr>
          <w:rFonts w:ascii="Calibri" w:eastAsia="Calibri" w:hAnsi="Calibri" w:cs="Calibri"/>
          <w:color w:val="1A1A1A"/>
          <w:sz w:val="24"/>
          <w:szCs w:val="24"/>
        </w:rPr>
      </w:pPr>
      <w:r>
        <w:rPr>
          <w:rFonts w:ascii="Calibri" w:eastAsia="Calibri" w:hAnsi="Calibri" w:cs="Calibri"/>
          <w:color w:val="1A1A1A"/>
          <w:sz w:val="24"/>
          <w:szCs w:val="24"/>
        </w:rPr>
        <w:t xml:space="preserve">a) Conocer las disposiciones del Decreto Número 15-2026 del Congreso de la República, Ley Integral para la Prevención y Represión del Lavado de Dinero u Otros Activos y del Financiamiento del Terrorismo, su reglamentación y las disposiciones que emita la Superintendencia de Bancos a través de la IVE, y observarlas en el desempeño de sus funciones.</w:t>
      </w:r>
    </w:p>
    <w:p w14:paraId="4255C6EF" w14:textId="77777777" w:rsidR="001815AC" w:rsidRPr="0057078F" w:rsidRDefault="00000000" w:rsidP="0057078F">
      <w:pPr>
        <w:pBdr>
          <w:top w:val="nil"/>
          <w:left w:val="nil"/>
          <w:bottom w:val="nil"/>
          <w:right w:val="nil"/>
          <w:between w:val="nil"/>
        </w:pBdr>
        <w:spacing w:after="152" w:line="276" w:lineRule="auto"/>
        <w:ind w:left="568" w:hanging="284"/>
        <w:jc w:val="both"/>
        <w:rPr>
          <w:rFonts w:ascii="Calibri" w:eastAsia="Calibri" w:hAnsi="Calibri" w:cs="Calibri"/>
          <w:color w:val="1A1A1A"/>
          <w:sz w:val="24"/>
          <w:szCs w:val="24"/>
        </w:rPr>
      </w:pPr>
      <w:r>
        <w:rPr>
          <w:rFonts w:ascii="Calibri" w:eastAsia="Calibri" w:hAnsi="Calibri" w:cs="Calibri"/>
          <w:color w:val="1A1A1A"/>
          <w:sz w:val="24"/>
          <w:szCs w:val="24"/>
        </w:rPr>
        <w:t xml:space="preserve">b) Aplicar en su trabajo las políticas, procedimientos, e instrucciones establecidas por </w:t>
      </w:r>
      <w:r>
        <w:rPr>
          <w:rFonts w:ascii="Calibri" w:eastAsia="Calibri" w:hAnsi="Calibri" w:cs="Calibri"/>
          <w:b/>
          <w:color w:val="000000"/>
          <w:sz w:val="24"/>
          <w:szCs w:val="24"/>
        </w:rPr>
        <w:t xml:space="preserve">Propi </w:t>
      </w:r>
      <w:r>
        <w:rPr>
          <w:rFonts w:ascii="Calibri" w:eastAsia="Calibri" w:hAnsi="Calibri" w:cs="Calibri"/>
          <w:color w:val="1A1A1A"/>
          <w:sz w:val="24"/>
          <w:szCs w:val="24"/>
        </w:rPr>
        <w:t xml:space="preserve">orientadas a prevenir que las operaciones que se realicen sean utilizadas directa o indirectamente para el LD/FT/FPADM. </w:t>
      </w:r>
    </w:p>
    <w:p w14:paraId="6FBD8E79" w14:textId="77777777" w:rsidR="001815AC" w:rsidRPr="0057078F" w:rsidRDefault="00000000" w:rsidP="0057078F">
      <w:pPr>
        <w:pBdr>
          <w:top w:val="nil"/>
          <w:left w:val="nil"/>
          <w:bottom w:val="nil"/>
          <w:right w:val="nil"/>
          <w:between w:val="nil"/>
        </w:pBdr>
        <w:spacing w:after="0" w:line="276" w:lineRule="auto"/>
        <w:ind w:left="284"/>
        <w:jc w:val="both"/>
        <w:rPr>
          <w:rFonts w:ascii="Calibri" w:eastAsia="Calibri" w:hAnsi="Calibri" w:cs="Calibri"/>
          <w:color w:val="1A1A1A"/>
          <w:sz w:val="24"/>
          <w:szCs w:val="24"/>
        </w:rPr>
      </w:pPr>
      <w:r>
        <w:rPr>
          <w:rFonts w:ascii="Calibri" w:eastAsia="Calibri" w:hAnsi="Calibri" w:cs="Calibri"/>
          <w:color w:val="1A1A1A"/>
          <w:sz w:val="24"/>
          <w:szCs w:val="24"/>
        </w:rPr>
        <w:t xml:space="preserve">c) Anteponer el cumplimiento de las normas en materia de prevención del LD/FT/FPADM al logro de las metas comerciales y asegurar que las operaciones se lleven a cabo de manera responsable y segura.</w:t>
      </w:r>
    </w:p>
    <w:p>
      <w:pPr>
        <w:pBdr>
          <w:top w:val="nil"/>
          <w:left w:val="nil"/>
          <w:bottom w:val="nil"/>
          <w:right w:val="nil"/>
          <w:between w:val="nil"/>
        </w:pBdr>
        <w:spacing w:after="0" w:line="276" w:lineRule="auto"/>
        <w:ind w:left="284"/>
        <w:jc w:val="both"/>
        <w:rPr>
          <w:rFonts w:ascii="Calibri" w:eastAsia="Calibri" w:hAnsi="Calibri" w:cs="Calibri"/>
          <w:color w:val="1A1A1A"/>
          <w:sz w:val="24"/>
          <w:szCs w:val="24"/>
        </w:rPr>
      </w:pPr>
      <w:r>
        <w:rPr>
          <w:rFonts w:ascii="Calibri" w:eastAsia="Calibri" w:hAnsi="Calibri" w:cs="Calibri"/>
          <w:color w:val="1A1A1A"/>
          <w:sz w:val="24"/>
          <w:szCs w:val="24"/>
        </w:rPr>
        <w:t xml:space="preserve">d) Actuar bajo los principios y normas establecidos en el Código de Ética de Propi y cumplir las obligaciones del Reglamento Interno de Trabajo en materia de prevención del LD/FT/FPADM.</w:t>
      </w:r>
    </w:p>
    <w:p w14:paraId="560FAC05"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2472398" w14:textId="77777777" w:rsidR="001815AC" w:rsidRPr="0057078F" w:rsidRDefault="00000000" w:rsidP="0057078F">
      <w:pPr>
        <w:pStyle w:val="Heading2"/>
        <w:numPr>
          <w:ilvl w:val="0"/>
          <w:numId w:val="5"/>
        </w:numPr>
        <w:spacing w:line="276" w:lineRule="auto"/>
        <w:rPr>
          <w:rFonts w:cs="Calibri"/>
          <w:b/>
        </w:rPr>
      </w:pPr>
      <w:r>
        <w:rPr>
          <w:rFonts w:cs="Calibri"/>
          <w:b/>
        </w:rPr>
        <w:t xml:space="preserve"> </w:t>
      </w:r>
      <w:bookmarkStart w:id="348" w:name="_Toc176997895"/>
      <w:r>
        <w:rPr>
          <w:rFonts w:cs="Calibri"/>
          <w:b/>
        </w:rPr>
        <w:t>RESPONSABILIDADES ESPECÍFICAS</w:t>
      </w:r>
      <w:bookmarkEnd w:id="348"/>
      <w:r>
        <w:rPr>
          <w:rFonts w:cs="Calibri"/>
          <w:b/>
        </w:rPr>
        <w:t xml:space="preserve"> </w:t>
      </w:r>
    </w:p>
    <w:p w14:paraId="6E2D47A5" w14:textId="77777777" w:rsidR="001815AC" w:rsidRPr="0057078F" w:rsidRDefault="001815AC" w:rsidP="0057078F">
      <w:pPr>
        <w:spacing w:line="276" w:lineRule="auto"/>
        <w:rPr>
          <w:rFonts w:ascii="Calibri" w:eastAsia="Calibri" w:hAnsi="Calibri" w:cs="Calibri"/>
          <w:color w:val="1A1A1A"/>
          <w:sz w:val="24"/>
          <w:szCs w:val="24"/>
        </w:rPr>
      </w:pPr>
    </w:p>
    <w:p w14:paraId="5A228571" w14:textId="6E3BB8DB" w:rsidR="001815AC" w:rsidRPr="0057078F" w:rsidRDefault="00000000" w:rsidP="0057078F">
      <w:pPr>
        <w:pStyle w:val="Heading3"/>
        <w:spacing w:line="276" w:lineRule="auto"/>
        <w:rPr>
          <w:rFonts w:ascii="Calibri" w:eastAsia="Calibri" w:hAnsi="Calibri" w:cs="Calibri"/>
          <w:color w:val="1A1A1A"/>
          <w:sz w:val="24"/>
          <w:szCs w:val="24"/>
        </w:rPr>
      </w:pPr>
      <w:bookmarkStart w:id="349" w:name="_Toc176997896"/>
      <w:bookmarkEnd w:id="349"/>
      <w:r>
        <w:rPr>
          <w:rFonts w:ascii="Calibri" w:eastAsia="Calibri" w:hAnsi="Calibri" w:cs="Calibri"/>
          <w:color w:val="1A1A1A"/>
          <w:sz w:val="24"/>
          <w:szCs w:val="24"/>
        </w:rPr>
        <w:t xml:space="preserve">1. Órgano de dirección superior</w:t>
      </w:r>
    </w:p>
    <w:p w14:paraId="79662DAB" w14:textId="77777777" w:rsidR="001815AC" w:rsidRPr="0057078F" w:rsidRDefault="001815AC" w:rsidP="0057078F">
      <w:pPr>
        <w:spacing w:line="276" w:lineRule="auto"/>
        <w:rPr>
          <w:rFonts w:ascii="Calibri" w:eastAsia="Calibri" w:hAnsi="Calibri" w:cs="Calibri"/>
          <w:color w:val="1A1A1A"/>
          <w:sz w:val="24"/>
          <w:szCs w:val="24"/>
        </w:rPr>
      </w:pPr>
    </w:p>
    <w:p w14:paraId="5FF2EF5B"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Al órgano de dirección superior de Propi, o a quien haga sus veces, además de las responsabilidades generales antes citadas, le corresponde:</w:t>
      </w:r>
    </w:p>
    <w:p w14:paraId="67049295" w14:textId="6D376B3A"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Establecer la responsabilidad del Oficial de Cumplimiento y de su suplente, del personal de auditoría interna o de quien realice funciones similares relacionadas con la prevención del LD/FT/FPADM, del personal de las áreas generadoras de negocio y de atención de clientes, así como del resto de los empleados y colaboradores de Propi.</w:t>
      </w:r>
    </w:p>
    <w:p w14:paraId="35784741" w14:textId="7761AB12"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Seleccionar y nombrar al Oficial de Cumplimiento titular y a su suplente (artículo 16 del Decreto 15-2026).</w:t>
      </w:r>
    </w:p>
    <w:p w14:paraId="62525C62" w14:textId="5819DD92"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Aprobar el presente Manual y sus modificaciones y actualizaciones (artículo 12 del Decreto 15-2026), así como el proceso de administración del Riesgo LD/FT/FPADM y sus actualizaciones (artículo 8).</w:t>
      </w:r>
    </w:p>
    <w:p w14:paraId="0CAEF84B" w14:textId="77777777"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Aprobar el Código de Ética Institucional.</w:t>
      </w:r>
    </w:p>
    <w:p w14:paraId="2F77FCCF" w14:textId="3125CCF6"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Aprobar el Plan de Trabajo anual del Oficial de Cumplimiento.</w:t>
      </w:r>
    </w:p>
    <w:p w14:paraId="292A6772" w14:textId="77777777"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Aprobar el Plan de Capacitación anual en materia de prevención del LD/FT/FPADM.</w:t>
      </w:r>
    </w:p>
    <w:p w14:paraId="5ACF3683" w14:textId="70AFCA29"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Asignar los recursos necesarios para la operatividad de la normativa aplicable a la prevención del LD/FT/FPADM, dentro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y especialmente al Oficial de Cumplimiento, acorde con las actividades, naturaleza, tamaño, operaciones y nivel de riesgo de la empresa.</w:t>
      </w:r>
    </w:p>
    <w:p w14:paraId="5A6B1EF9" w14:textId="45925784"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Conocer los informes y estadísticas de la gestión realizada por el Oficial de Cumplimiento y suplente.</w:t>
      </w:r>
    </w:p>
    <w:p w14:paraId="57DBD9C1" w14:textId="59F2E573"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385" w:name="_heading=h.1ksv4uv" w:colFirst="0" w:colLast="0"/>
      <w:bookmarkEnd w:id="385"/>
      <w:r>
        <w:rPr>
          <w:rFonts w:ascii="Calibri" w:eastAsia="Calibri" w:hAnsi="Calibri" w:cs="Calibri"/>
          <w:color w:val="1A1A1A"/>
          <w:sz w:val="24"/>
          <w:szCs w:val="24"/>
        </w:rPr>
        <w:t xml:space="preserve">Apoyar de forma irrestricta la labor del Oficial de Cumplimiento y su equipo de trabajo.</w:t>
      </w:r>
    </w:p>
    <w:p w14:paraId="466BF6AF" w14:textId="18ADF5EF" w:rsidR="003E3C2C" w:rsidRPr="0057078F" w:rsidRDefault="003E3C2C"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Velar por que, por medio del Oficial de Cumplimiento, se comuniquen a la IVE, en la forma y plazo que esta establezca, la designación, renuncia, remoción o sustitución del Oficial de Cumplimiento titular y suplente (artículo 16 del Decreto 15-2026).</w:t>
      </w:r>
    </w:p>
    <w:p>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Autorizar por escrito, o delegar en el nivel gerencial o comité que designe, el establecimiento o continuidad de relaciones de negocios con clientes calificados como Personas Expuestas Políticamente o de riesgo alto, previo dictamen del Oficial de Cumplimiento.</w:t>
      </w:r>
    </w:p>
    <w:p>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Garantizar al Oficial de Cumplimiento independencia, autonomía y suficientes recursos materiales, tecnológicos y personal idóneo para el cumplimiento de sus funciones (artículo 16).</w:t>
      </w:r>
    </w:p>
    <w:p>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Aprobar, a propuesta del Oficial de Cumplimiento, las políticas que desarrollan este Manual y la matriz de riesgo consolidada con su metodología.</w:t>
      </w:r>
    </w:p>
    <w:p>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Velar por que, por medio del Oficial de Cumplimiento, se mantenga actualizada la información general de Propi ante la Superintendencia de Bancos a través de la IVE y se comunique cualquier modificación en la forma y plazo que esta establezca (quince días conforme a la práctica vigente).</w:t>
      </w:r>
    </w:p>
    <w:p w14:paraId="5EE70840" w14:textId="77777777" w:rsidR="003E3C2C" w:rsidRPr="0057078F" w:rsidRDefault="003E3C2C">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CF2FFA4" w14:textId="3F98A41B" w:rsidR="001815AC" w:rsidRPr="0057078F" w:rsidRDefault="00000000" w:rsidP="0057078F">
      <w:pPr>
        <w:pStyle w:val="Heading3"/>
        <w:spacing w:line="276" w:lineRule="auto"/>
        <w:rPr>
          <w:rFonts w:ascii="Calibri" w:eastAsia="Calibri" w:hAnsi="Calibri" w:cs="Calibri"/>
          <w:b/>
          <w:color w:val="1A1A1A"/>
          <w:sz w:val="24"/>
          <w:szCs w:val="24"/>
        </w:rPr>
      </w:pPr>
      <w:bookmarkStart w:id="408" w:name="_Toc176997897"/>
      <w:r>
        <w:rPr>
          <w:rFonts w:ascii="Calibri" w:eastAsia="Calibri" w:hAnsi="Calibri" w:cs="Calibri"/>
          <w:color w:val="1A1A1A"/>
          <w:sz w:val="24"/>
          <w:szCs w:val="24"/>
        </w:rPr>
        <w:t xml:space="preserve">2. </w:t>
      </w:r>
      <w:r>
        <w:rPr>
          <w:rFonts w:ascii="Calibri" w:eastAsia="Calibri" w:hAnsi="Calibri" w:cs="Calibri"/>
          <w:b/>
          <w:color w:val="1A1A1A"/>
          <w:sz w:val="24"/>
          <w:szCs w:val="24"/>
        </w:rPr>
        <w:t xml:space="preserve">OFICIAL DE CUMPLIMIENTO Y OFICIAL DE CUMPLIMIENTO SUPLENTE</w:t>
      </w:r>
      <w:bookmarkEnd w:id="408"/>
    </w:p>
    <w:p w14:paraId="4186EBD8" w14:textId="77777777" w:rsidR="003E3C2C" w:rsidRPr="0057078F" w:rsidRDefault="003E3C2C" w:rsidP="0057078F">
      <w:pPr>
        <w:keepNext/>
        <w:keepLines/>
        <w:pBdr>
          <w:top w:val="nil"/>
          <w:left w:val="nil"/>
          <w:bottom w:val="nil"/>
          <w:right w:val="nil"/>
          <w:between w:val="nil"/>
        </w:pBdr>
        <w:spacing w:before="200" w:after="0" w:line="276" w:lineRule="auto"/>
        <w:jc w:val="both"/>
        <w:rPr>
          <w:rFonts w:ascii="Calibri" w:eastAsia="Calibri" w:hAnsi="Calibri" w:cs="Calibri"/>
          <w:color w:val="1A1A1A"/>
          <w:sz w:val="24"/>
          <w:szCs w:val="24"/>
        </w:rPr>
      </w:pPr>
      <w:r>
        <w:rPr>
          <w:rFonts w:ascii="Calibri" w:eastAsia="Calibri" w:hAnsi="Calibri" w:cs="Calibri"/>
          <w:b/>
          <w:color w:val="000000"/>
          <w:sz w:val="24"/>
          <w:szCs w:val="24"/>
        </w:rPr>
        <w:t xml:space="preserve">Propi en cumplimiento a lo establecido en la normativa nacional vigente de prevención de LD/FT/FPADM, deberá nombrar a un Oficial de Cumplimiento Titular y un Oficial de Cumplimiento Suplente que serán los encargados de velar por el cumplimiento de las regulaciones en materia de prevención de LD/FT/FPADM. </w:t>
      </w:r>
    </w:p>
    <w:p w14:paraId="6770E8FE"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Oficial de Cumplimiento titular y su suplente serán nombrados por el órgano de dirección superior o quien haga sus veces (artículo 16 del Decreto 15-2026); el suplente fungirá en caso de ausencia temporal del titular. El Oficial de Cumplimiento podrá ejercer otras funciones dentro de la entidad y ostentará un cargo de alta gerencia o de similar naturaleza. Las calidades, atribuciones mínimas y condiciones de ejercicio del titular y del suplente, así como la forma y plazo para informar a la IVE su designación, renuncia, remoción o sustitución, se sujetan a la reglamentación de la Ley. Mientras esta no disponga otra cosa, el nombramiento, la sustitución o la remoción del titular y del suplente se comunicarán a la IVE dentro de los diez (10) días hábiles siguientes, acompañando el currículum vitae respectivo, conforme a la práctica vigente.</w:t>
      </w:r>
    </w:p>
    <w:p w14:paraId="2CC9CBCE" w14:textId="77777777" w:rsidR="001815AC" w:rsidRPr="0057078F" w:rsidRDefault="001815AC">
      <w:pPr>
        <w:keepNext/>
        <w:keepLines/>
        <w:pBdr>
          <w:top w:val="nil"/>
          <w:left w:val="nil"/>
          <w:bottom w:val="nil"/>
          <w:right w:val="nil"/>
          <w:between w:val="nil"/>
        </w:pBdr>
        <w:spacing w:before="200" w:after="0" w:line="276" w:lineRule="auto"/>
        <w:jc w:val="both"/>
        <w:rPr>
          <w:rFonts w:ascii="Calibri" w:eastAsia="Calibri" w:hAnsi="Calibri" w:cs="Calibri"/>
          <w:color w:val="1A1A1A"/>
          <w:sz w:val="24"/>
          <w:szCs w:val="24"/>
        </w:rPr>
      </w:pPr>
    </w:p>
    <w:p w14:paraId="549C5C53" w14:textId="23AE7CB6"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nombramiento del Oficial de Cumplimiento no exime a los demás empleados de la obligación de aplicar, en el desarrollo de sus funciones, los procedimientos de prevención y control de los riesgos de LD/FT/FPADM.</w:t>
      </w:r>
    </w:p>
    <w:p w14:paraId="0789DF44"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C407670" w14:textId="650B2E44" w:rsidR="0057078F" w:rsidRPr="0057078F" w:rsidDel="00BD46E3" w:rsidRDefault="0057078F">
      <w:pPr>
        <w:pStyle w:val="ListParagraph"/>
        <w:numPr>
          <w:ilvl w:val="0"/>
          <w:numId w:val="34"/>
        </w:numPr>
        <w:rPr>
          <w:rFonts w:ascii="Calibri" w:hAnsi="Calibri" w:cs="Calibri"/>
          <w:sz w:val="24"/>
          <w:szCs w:val="24"/>
        </w:rPr>
      </w:pPr>
    </w:p>
    <w:p w14:paraId="0D8EC8B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9B7429D" w14:textId="45605965" w:rsidR="001815AC" w:rsidRPr="0057078F" w:rsidRDefault="00000000" w:rsidP="0057078F">
      <w:pPr>
        <w:numPr>
          <w:ilvl w:val="1"/>
          <w:numId w:val="9"/>
        </w:numPr>
        <w:pBdr>
          <w:top w:val="nil"/>
          <w:left w:val="nil"/>
          <w:bottom w:val="nil"/>
          <w:right w:val="nil"/>
          <w:between w:val="nil"/>
        </w:pBdr>
        <w:spacing w:after="0" w:line="276" w:lineRule="auto"/>
        <w:jc w:val="both"/>
        <w:rPr>
          <w:rFonts w:ascii="Calibri" w:eastAsia="Calibri" w:hAnsi="Calibri" w:cs="Calibri"/>
          <w:b/>
          <w:color w:val="1A1A1A"/>
          <w:sz w:val="24"/>
          <w:szCs w:val="24"/>
        </w:rPr>
      </w:pPr>
      <w:bookmarkStart w:id="502" w:name="_heading=h.z3bvj04y2tu8" w:colFirst="0" w:colLast="0"/>
      <w:bookmarkEnd w:id="502"/>
      <w:r>
        <w:rPr>
          <w:rFonts w:ascii="Calibri" w:eastAsia="Calibri" w:hAnsi="Calibri" w:cs="Calibri"/>
          <w:b/>
          <w:color w:val="1A1A1A"/>
          <w:sz w:val="24"/>
          <w:szCs w:val="24"/>
        </w:rPr>
        <w:t xml:space="preserve">Nombramiento del Oficial de Cumplimiento titular y suplente</w:t>
      </w:r>
    </w:p>
    <w:p w14:paraId="46835FF8"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9058C41" w14:textId="1B5F737B"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Los requisitos mínimos para ser nombrado Oficial de Cumplimiento dentro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son los siguientes:</w:t>
      </w:r>
    </w:p>
    <w:p w14:paraId="24E26751" w14:textId="77777777" w:rsidR="001815AC" w:rsidRPr="0057078F" w:rsidRDefault="00000000" w:rsidP="0057078F">
      <w:pPr>
        <w:numPr>
          <w:ilvl w:val="0"/>
          <w:numId w:val="3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Capacitación en materia de prevención y gestión de riesgos asociados al LD/FT/FPADM;</w:t>
      </w:r>
    </w:p>
    <w:p w14:paraId="1CA24FC4" w14:textId="77777777" w:rsidR="001815AC" w:rsidRPr="0057078F" w:rsidRDefault="00000000" w:rsidP="0057078F">
      <w:pPr>
        <w:numPr>
          <w:ilvl w:val="0"/>
          <w:numId w:val="3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Conocimientos sobre el marco regulatorio en materia de prevención y gestión de riesgos asociados al LD/FT/FPADM;</w:t>
      </w:r>
    </w:p>
    <w:p w14:paraId="19DAD4AB" w14:textId="77777777" w:rsidR="001815AC" w:rsidRPr="0057078F" w:rsidRDefault="00000000" w:rsidP="0057078F">
      <w:pPr>
        <w:numPr>
          <w:ilvl w:val="0"/>
          <w:numId w:val="3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Contar con grado académico a nivel universitario;</w:t>
      </w:r>
    </w:p>
    <w:p w14:paraId="7B1D5C04" w14:textId="77777777" w:rsidR="001815AC" w:rsidRPr="0057078F" w:rsidRDefault="00000000" w:rsidP="0057078F">
      <w:pPr>
        <w:numPr>
          <w:ilvl w:val="0"/>
          <w:numId w:val="3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Contar con conocimiento sobre los aspectos financieros, operativos y jurídicos de la actividad económica que realiza la entidad.</w:t>
      </w:r>
    </w:p>
    <w:p w14:paraId="305FF2A0" w14:textId="6EA3502C"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función del Oficial de Cumplimiento será ejercida por una persona que resida en el país y podrá ser compatible con el ejercicio de otras funciones administrativas, excepto con el cargo de contador o auditor interno, extensivo al personal que labora en dichas áreas. Por la naturaleza de las funciones que la delegación de cumplimiento implica, esta labor no es compatible con las subcontrataciones y Propi deberá considerar el tema de confidencialidad al momento de realizar el nombramiento de la persona designada a estas funciones, sin perjuicio de lo dispuesto en el artículo 16 del Decreto 15-2026.</w:t>
      </w:r>
    </w:p>
    <w:p w14:paraId="6BEBB0A0"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78EA784" w14:textId="77777777" w:rsid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Propi</w:t>
      </w:r>
      <w:r>
        <w:rPr>
          <w:rFonts w:ascii="Calibri" w:eastAsia="Calibri" w:hAnsi="Calibri" w:cs="Calibri"/>
          <w:color w:val="1A1A1A"/>
          <w:sz w:val="24"/>
          <w:szCs w:val="24"/>
        </w:rPr>
        <w:t xml:space="preserve"> nombrará a un Oficial de Cumplimiento Suplente quien deberá cumplir con los mismos requisitos que son exigidos al Oficial de Cumplimiento.</w:t>
      </w:r>
    </w:p>
    <w:p w14:paraId="5B077F1D" w14:textId="386588C1" w:rsidR="00BD46E3" w:rsidRPr="00BD46E3" w:rsidRDefault="00BD46E3">
      <w:pPr>
        <w:numPr>
          <w:ilvl w:val="1"/>
          <w:numId w:val="9"/>
        </w:numPr>
        <w:pBdr>
          <w:top w:val="nil"/>
          <w:left w:val="nil"/>
          <w:bottom w:val="nil"/>
          <w:right w:val="nil"/>
          <w:between w:val="nil"/>
        </w:pBdr>
        <w:spacing w:after="0" w:line="276" w:lineRule="auto"/>
        <w:jc w:val="both"/>
        <w:rPr>
          <w:rFonts w:ascii="Calibri" w:eastAsia="Calibri" w:hAnsi="Calibri" w:cs="Calibri"/>
          <w:b/>
          <w:color w:val="1A1A1A"/>
          <w:sz w:val="24"/>
          <w:szCs w:val="24"/>
        </w:rPr>
      </w:pPr>
      <w:r>
        <w:rPr>
          <w:rFonts w:ascii="Calibri" w:eastAsia="Calibri" w:hAnsi="Calibri" w:cs="Calibri"/>
          <w:b/>
          <w:color w:val="1A1A1A"/>
          <w:sz w:val="24"/>
          <w:szCs w:val="24"/>
        </w:rPr>
        <w:t>Responsabilidades del Oficial de Cumplimiento</w:t>
      </w:r>
    </w:p>
    <w:p w14:paraId="7650867C" w14:textId="77777777" w:rsidR="00BD46E3" w:rsidRPr="0057078F" w:rsidRDefault="00BD46E3" w:rsidP="00BD46E3">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9A455AC" w14:textId="77777777" w:rsidR="00BD46E3" w:rsidRPr="002F48D3" w:rsidRDefault="00BD46E3" w:rsidP="00BD46E3">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Principalmente, el Oficial de Cumplimiento será el responsable de vigilar el cumplimiento de los Programas de Prevención LD/FT/FPADM contenidos en este Manual y en sus documentos complementarios, así como de las obligaciones que establece el Decreto 15-2026, su reglamentación y demás disposiciones aplicables; y será el único enlace entre Propi y la Superintendencia de Bancos a través de la IVE (artículo 16).</w:t>
      </w:r>
    </w:p>
    <w:p w14:paraId="40779508" w14:textId="77777777" w:rsidR="00BD46E3" w:rsidRPr="0057078F" w:rsidRDefault="00BD46E3" w:rsidP="00BD46E3">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Observar el debido cumplimiento de las obligaciones establecidas por la Intendencia de Verificación Especial.</w:t>
      </w:r>
    </w:p>
    <w:p w14:paraId="469D1CD0" w14:textId="77777777" w:rsidR="00BD46E3" w:rsidRPr="0057078F" w:rsidRDefault="00BD46E3" w:rsidP="00BD46E3">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Consultar constantemente el Portal de Personas Obligadas para asegurarse que Propi se encuentre en cumplimiento con sus obligaciones. </w:t>
      </w:r>
    </w:p>
    <w:p w14:paraId="1467274A" w14:textId="77777777" w:rsidR="00BD46E3" w:rsidRDefault="00BD46E3" w:rsidP="00BD46E3">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Determinar procedimientos para la detección de transacciones inusuales y reporte de transacciones sospechosas, y garantizar la reserva de la información reportada.</w:t>
      </w:r>
    </w:p>
    <w:p w14:paraId="545AFF8C" w14:textId="77777777" w:rsidR="00BD46E3" w:rsidRDefault="00BD46E3">
      <w:pPr>
        <w:pStyle w:val="ListParagraph"/>
        <w:numPr>
          <w:ilvl w:val="0"/>
          <w:numId w:val="34"/>
        </w:numPr>
        <w:jc w:val="both"/>
        <w:rPr>
          <w:rFonts w:ascii="Calibri" w:hAnsi="Calibri" w:cs="Calibri"/>
          <w:sz w:val="24"/>
          <w:szCs w:val="24"/>
        </w:rPr>
      </w:pPr>
      <w:r>
        <w:rPr>
          <w:rFonts w:ascii="Calibri" w:hAnsi="Calibri" w:cs="Calibri"/>
          <w:sz w:val="24"/>
          <w:szCs w:val="24"/>
        </w:rPr>
        <w:t xml:space="preserve">Validar que los reportes de transacciones en efectivo y los demás reportes que requiera la IVE sean presentados a la Superintendencia de Bancos a través de los mecanismos establecidos por la Intendencia de Verificación Especial.</w:t>
      </w:r>
    </w:p>
    <w:p w14:paraId="420A8A81" w14:textId="77777777" w:rsidR="00BD46E3" w:rsidRPr="0057078F" w:rsidRDefault="00BD46E3">
      <w:pPr>
        <w:pStyle w:val="ListParagraph"/>
        <w:numPr>
          <w:ilvl w:val="0"/>
          <w:numId w:val="34"/>
        </w:numPr>
        <w:jc w:val="both"/>
        <w:rPr>
          <w:rFonts w:ascii="Calibri" w:hAnsi="Calibri" w:cs="Calibri"/>
          <w:sz w:val="24"/>
          <w:szCs w:val="24"/>
        </w:rPr>
      </w:pPr>
      <w:r>
        <w:rPr>
          <w:rFonts w:ascii="Calibri" w:hAnsi="Calibri" w:cs="Calibri"/>
          <w:sz w:val="24"/>
          <w:szCs w:val="24"/>
        </w:rPr>
        <w:t xml:space="preserve">Coordinar los esfuerzos con las diferentes áreas dentro de Propi para la implementación de controles internos eficaces, asegurando que las políticas y procedimientos se cumplan en toda la entidad.</w:t>
      </w:r>
    </w:p>
    <w:p w14:paraId="29705F3D" w14:textId="77777777" w:rsidR="00BD46E3" w:rsidRDefault="00BD46E3">
      <w:pPr>
        <w:pStyle w:val="ListParagraph"/>
        <w:numPr>
          <w:ilvl w:val="0"/>
          <w:numId w:val="34"/>
        </w:numPr>
        <w:jc w:val="both"/>
        <w:rPr>
          <w:rFonts w:ascii="Calibri" w:hAnsi="Calibri" w:cs="Calibri"/>
          <w:sz w:val="24"/>
          <w:szCs w:val="24"/>
        </w:rPr>
      </w:pPr>
      <w:r>
        <w:rPr>
          <w:rFonts w:ascii="Calibri" w:hAnsi="Calibri" w:cs="Calibri"/>
          <w:sz w:val="24"/>
          <w:szCs w:val="24"/>
        </w:rPr>
        <w:t xml:space="preserve">Analizar e implementar las medidas correctivas derivadas de las observaciones de la auditoría interna, o de quien realice funciones similares, y de la auditoría externa, relacionadas con la prevención del LD/FT/FPADM.</w:t>
      </w:r>
    </w:p>
    <w:p w14:paraId="570281F9" w14:textId="77777777" w:rsidR="00BD46E3" w:rsidRPr="0057078F" w:rsidRDefault="00BD46E3">
      <w:pPr>
        <w:pStyle w:val="ListParagraph"/>
        <w:numPr>
          <w:ilvl w:val="0"/>
          <w:numId w:val="34"/>
        </w:numPr>
        <w:jc w:val="both"/>
        <w:rPr>
          <w:rFonts w:ascii="Calibri" w:hAnsi="Calibri" w:cs="Calibri"/>
          <w:sz w:val="24"/>
          <w:szCs w:val="24"/>
        </w:rPr>
      </w:pPr>
      <w:r>
        <w:rPr>
          <w:rFonts w:ascii="Calibri" w:hAnsi="Calibri" w:cs="Calibri"/>
          <w:sz w:val="24"/>
          <w:szCs w:val="24"/>
        </w:rPr>
        <w:t xml:space="preserve">Realizar el examen de las transacciones inusuales para determinar si procede o no elaborar un Reporte de Transacción Sospechosa (RTS).</w:t>
      </w:r>
    </w:p>
    <w:p w14:paraId="16410CFE" w14:textId="77777777" w:rsidR="00BD46E3" w:rsidRPr="0057078F" w:rsidRDefault="00BD46E3">
      <w:pPr>
        <w:pStyle w:val="ListParagraph"/>
        <w:numPr>
          <w:ilvl w:val="0"/>
          <w:numId w:val="34"/>
        </w:numPr>
        <w:jc w:val="both"/>
        <w:rPr>
          <w:rFonts w:ascii="Calibri" w:hAnsi="Calibri" w:cs="Calibri"/>
          <w:sz w:val="24"/>
          <w:szCs w:val="24"/>
        </w:rPr>
      </w:pPr>
      <w:r>
        <w:rPr>
          <w:rFonts w:ascii="Calibri" w:hAnsi="Calibri" w:cs="Calibri"/>
          <w:sz w:val="24"/>
          <w:szCs w:val="24"/>
        </w:rPr>
        <w:t xml:space="preserve">Dar respuesta oportuna a los requerimientos de información de la Superintendencia de Bancos a través de la IVE, llevando archivo de estos con la debida confidencialidad.</w:t>
      </w:r>
    </w:p>
    <w:p w14:paraId="589C3674" w14:textId="77777777" w:rsidR="00BD46E3" w:rsidRPr="002F48D3" w:rsidRDefault="00BD46E3">
      <w:pPr>
        <w:pStyle w:val="ListParagraph"/>
        <w:numPr>
          <w:ilvl w:val="0"/>
          <w:numId w:val="34"/>
        </w:numPr>
        <w:jc w:val="both"/>
        <w:rPr>
          <w:rFonts w:ascii="Calibri" w:hAnsi="Calibri" w:cs="Calibri"/>
          <w:sz w:val="24"/>
          <w:szCs w:val="24"/>
        </w:rPr>
      </w:pPr>
      <w:r>
        <w:rPr>
          <w:rFonts w:ascii="Calibri" w:hAnsi="Calibri" w:cs="Calibri"/>
          <w:sz w:val="24"/>
          <w:szCs w:val="24"/>
        </w:rPr>
        <w:t xml:space="preserve">Preparar y coordinar la ejecución del plan anual de capacitación sobre la prevención del LD/FT/FPADM.</w:t>
      </w:r>
    </w:p>
    <w:p w14:paraId="56E623FF"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DC05169" w14:textId="77777777" w:rsid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570" w:name="_heading=h.o88by84y2zu6" w:colFirst="0" w:colLast="0"/>
      <w:bookmarkEnd w:id="570"/>
      <w:r>
        <w:rPr>
          <w:rFonts w:ascii="Calibri" w:eastAsia="Calibri" w:hAnsi="Calibri" w:cs="Calibri"/>
          <w:b/>
          <w:color w:val="1A1A1A"/>
          <w:sz w:val="24"/>
          <w:szCs w:val="24"/>
        </w:rPr>
        <w:lastRenderedPageBreak/>
        <w:t xml:space="preserve"> Funciones del Oficial de Cumplimiento</w:t>
      </w:r>
    </w:p>
    <w:p w14:paraId="7688D533" w14:textId="77777777" w:rsidR="0057078F" w:rsidRPr="0057078F" w:rsidRDefault="0057078F">
      <w:pPr>
        <w:pBdr>
          <w:top w:val="nil"/>
          <w:left w:val="nil"/>
          <w:bottom w:val="nil"/>
          <w:right w:val="nil"/>
          <w:between w:val="nil"/>
        </w:pBdr>
        <w:spacing w:after="0" w:line="276" w:lineRule="auto"/>
        <w:jc w:val="both"/>
        <w:rPr>
          <w:rFonts w:ascii="Calibri" w:eastAsia="Calibri" w:hAnsi="Calibri" w:cs="Calibri"/>
          <w:b/>
          <w:color w:val="1A1A1A"/>
        </w:rPr>
      </w:pPr>
    </w:p>
    <w:p w14:paraId="38902221" w14:textId="77777777" w:rsidR="0057078F" w:rsidRDefault="0057078F" w:rsidP="005822A1">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579" w:name="_heading=h.v9dkoqusabra" w:colFirst="0" w:colLast="0"/>
      <w:bookmarkEnd w:id="579"/>
      <w:bookmarkStart w:id="586" w:name="_heading=h.ly2zo6r1ih4" w:colFirst="0" w:colLast="0"/>
      <w:bookmarkEnd w:id="586"/>
      <w:r>
        <w:rPr>
          <w:rFonts w:ascii="Calibri" w:eastAsia="Calibri" w:hAnsi="Calibri" w:cs="Calibri"/>
          <w:color w:val="1A1A1A"/>
          <w:sz w:val="24"/>
          <w:szCs w:val="24"/>
        </w:rPr>
        <w:t xml:space="preserve">El Oficial de Cumplimiento goza de autoridad, independencia de criterio y acceso a toda la información de directores, alta administración, proveedores, empleados, así como, de las transacciones u operaciones que realice Propi con los Clientes o contrapartes en virtud del desarrollo normal de sus operaciones. Además de las atribuciones que establezca la reglamentación del Decreto 15-2026, el Oficial de Cumplimiento deberá desarrollar las siguientes:</w:t>
      </w:r>
    </w:p>
    <w:p w14:paraId="4F9FF8ED" w14:textId="77777777" w:rsidR="0057078F" w:rsidRDefault="0057078F" w:rsidP="005822A1">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05778BC" w14:textId="1EBF12BC"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Proponer programas, normas, procedimientos y controles internos que se deberán adoptar, desarrollar y ejecutar para evitar el uso indebido de sus servicios y en actividades de lavado de dinero, otros activos o financiamiento del terrorismo (LD/FT/FPADM).</w:t>
      </w:r>
    </w:p>
    <w:p w14:paraId="66BFC253" w14:textId="5D24A8BB"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Hacer del conocimiento del personal de Propi todas las disposiciones legales y reglamentarias, así como los procedimientos internos existentes en materia de prevención y detección de LD/FT/FPADM.</w:t>
      </w:r>
    </w:p>
    <w:p w14:paraId="658ED7EC" w14:textId="175C73AA"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Coordinar con otras instancias la implementación de los programas, normas, procedimientos y controles internos que la Ley establece, y velar porque los mismos se cumplan.</w:t>
      </w:r>
    </w:p>
    <w:p w14:paraId="33FE568C" w14:textId="7ED9AEEF"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Preparar y documentar la información que deba remitirse a la Superintendencia de Bancos, a través de la Intendencia de Verificación Especial, conforme a los datos y documentación a que se refiere la Ley.</w:t>
      </w:r>
    </w:p>
    <w:p w14:paraId="3F4AFC38"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Mantener una constante actualización técnica y legal sobre el tema de prevención y detección de LD/FT/FPADM, así como establecer canales de comunicación y cooperación con los Oficiales de Cumplimiento de otras entidades, garantizando la confidencialidad de la información conforme a la Ley.</w:t>
      </w:r>
    </w:p>
    <w:p w14:paraId="3ABAD57F"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Organizar la capacitación del personal en los aspectos relacionados con la prevención y detección del lavado de dinero u otros activos, y remitir a la Superintendencia de Bancos, a través de la IVE, el informe sobre dicha capacitación con la periodicidad y en la forma que esta establezca (semestral conforme a la práctica vigente).</w:t>
      </w:r>
    </w:p>
    <w:p w14:paraId="2C9D4B38" w14:textId="4E2AF10D"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Documentar los esfuerzos realizados por Propi en materia de prevención del LD/FT/FPADM.</w:t>
      </w:r>
    </w:p>
    <w:p w14:paraId="295B7445" w14:textId="2D4292EF"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Realizar informes trimestrales al órgano de dirección superior sobre la eficacia de los mecanismos de control interno ejecutados, relacionados con el programa de cumplimiento.</w:t>
      </w:r>
    </w:p>
    <w:p w14:paraId="34883523"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lastRenderedPageBreak/>
        <w:t xml:space="preserve">Realizar seguimiento rutinario del debido cumplimiento de las políticas y procedimientos para la prevención del LD/FT/FPADM, con un enfoque basado en riesgo.</w:t>
      </w:r>
    </w:p>
    <w:p w14:paraId="78071D63"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Promover la adopción de modificaciones a las políticas y procedimientos para la prevención del LD/FT/FPADM, para la detección de transacciones inusuales y el reporte de transacciones sospechosas, e informar los resultados de las acciones correctivas ordenadas por el órgano de dirección superior.</w:t>
      </w:r>
    </w:p>
    <w:p w14:paraId="43FF4E29"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Diseñar el presente Manual y proponer su actualización.</w:t>
      </w:r>
    </w:p>
    <w:p w14:paraId="346643A7" w14:textId="04DD9ACC"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Elaborar metodologías e indicadores cualitativos y cuantitativos para la detección oportuna de transacciones inusuales.</w:t>
      </w:r>
    </w:p>
    <w:p w14:paraId="3449916A"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Hacer evaluaciones sobre el debido y oportuno cumplimiento de la normativa en relación con la prevención del LD/FT/FPADM.</w:t>
      </w:r>
    </w:p>
    <w:p w14:paraId="5A85225C"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Establecer y coordinar mecanismos de monitoreo de las transacciones realizadas por los clientes o contrapartes durante el curso de la relación comercial, para asegurar que las transacciones ejecutadas sean consistentes con su perfil.</w:t>
      </w:r>
    </w:p>
    <w:p w14:paraId="23B73815" w14:textId="73E61346"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Instruir a la auditoría interna y externa, o quien realice funciones similares, para verificar de manera muestral el acuse de recibo o la evidencia del envío de reportes de transacciones sospechosas y en efectivo.</w:t>
      </w:r>
    </w:p>
    <w:p w14:paraId="024A8B56" w14:textId="0211F2B5"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703" w:name="_heading=h.d6v4s4g86tgc" w:colFirst="0" w:colLast="0"/>
      <w:bookmarkStart w:id="704" w:name="_heading=h.wkfnl246cn07" w:colFirst="0" w:colLast="0"/>
      <w:bookmarkStart w:id="705" w:name="_heading=h.e5e4kma3c244" w:colFirst="0" w:colLast="0"/>
      <w:bookmarkStart w:id="706" w:name="_heading=h.ckmlr0bp81ag" w:colFirst="0" w:colLast="0"/>
      <w:bookmarkStart w:id="707" w:name="_heading=h.eo3nm7ew8xvy" w:colFirst="0" w:colLast="0"/>
      <w:bookmarkStart w:id="708" w:name="_heading=h.mje0h1jbh27a" w:colFirst="0" w:colLast="0"/>
      <w:bookmarkStart w:id="709" w:name="_heading=h.p4mjmt9jjtef" w:colFirst="0" w:colLast="0"/>
      <w:bookmarkStart w:id="710" w:name="_heading=h.vmyefzwcvdss" w:colFirst="0" w:colLast="0"/>
      <w:bookmarkStart w:id="711" w:name="_heading=h.kmw85dfvtvrn" w:colFirst="0" w:colLast="0"/>
      <w:bookmarkStart w:id="712" w:name="_heading=h.v6kk6sytgbbf" w:colFirst="0" w:colLast="0"/>
      <w:bookmarkStart w:id="713" w:name="_heading=h.4cux8kxmda9s" w:colFirst="0" w:colLast="0"/>
      <w:bookmarkStart w:id="714" w:name="_heading=h.tu5cuv26hu36" w:colFirst="0" w:colLast="0"/>
      <w:bookmarkStart w:id="715" w:name="_heading=h.juu5getl80pl" w:colFirst="0" w:colLast="0"/>
      <w:bookmarkEnd w:id="703"/>
      <w:bookmarkEnd w:id="704"/>
      <w:bookmarkEnd w:id="705"/>
      <w:bookmarkEnd w:id="706"/>
      <w:bookmarkEnd w:id="707"/>
      <w:bookmarkEnd w:id="708"/>
      <w:bookmarkEnd w:id="709"/>
      <w:bookmarkEnd w:id="710"/>
      <w:bookmarkEnd w:id="711"/>
      <w:bookmarkEnd w:id="712"/>
      <w:bookmarkEnd w:id="713"/>
      <w:bookmarkEnd w:id="714"/>
      <w:bookmarkEnd w:id="715"/>
      <w:r>
        <w:rPr>
          <w:rFonts w:ascii="Calibri" w:eastAsia="Calibri" w:hAnsi="Calibri" w:cs="Calibri"/>
          <w:color w:val="1A1A1A"/>
          <w:sz w:val="24"/>
          <w:szCs w:val="24"/>
        </w:rPr>
        <w:t xml:space="preserve">Otras funciones que el órgano de dirección superior defina.</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identidad y la información personal del Oficial de Cumplimiento y de quienes laboren bajo su dirección tienen carácter confidencial y no podrán hacerse del conocimiento público, salvo ante la Superintendencia de Bancos a través de la IVE o por orden de juez competente (artículo 19 del Decreto 15-2026).</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Oficial de Cumplimiento y las personas que laboren bajo su dirección tienen impedimento para declarar, intervenir o desempeñarse como testigos, peritos, expertos o consultores técnicos en procesos penales o de extinción de dominio relacionados con la información, documentación, expedientes y registros a los que hayan tenido acceso en el ejercicio de sus funciones y con los RTS comunicados a la IVE; el impedimento subsiste después de cesar en el cargo (artículo 20).</w:t>
      </w:r>
    </w:p>
    <w:p w14:paraId="00D014BF" w14:textId="77777777" w:rsidR="001815AC" w:rsidRPr="0057078F" w:rsidRDefault="00000000" w:rsidP="0057078F">
      <w:pPr>
        <w:pStyle w:val="Heading1"/>
        <w:spacing w:line="276" w:lineRule="auto"/>
        <w:rPr>
          <w:rFonts w:cs="Calibri"/>
        </w:rPr>
      </w:pPr>
      <w:bookmarkStart w:id="718" w:name="_Toc176997898"/>
      <w:r>
        <w:rPr>
          <w:rFonts w:cs="Calibri"/>
        </w:rPr>
        <w:t>POLÍTICAS DE CONOCIMIENTO DE CLIENTES</w:t>
      </w:r>
      <w:bookmarkEnd w:id="718"/>
    </w:p>
    <w:p w14:paraId="49B8A73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BF328C3"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el conocimiento de cliente es de suma importancia en la prevención del LD/FT/FPADM; lo cual consiste en establecer los mecanismos para lograr un conocimiento suficiente y adecuado de la identidad del cliente y beneficiarios finales, incluyendo la actividad económica a la que se dedica, la magnitud, frecuencia y características básicas de las transacciones en que se involucran cotidianamente, así como, la documentación que sea necesaria para respaldar las transacciones efectuadas por los clientes de acuerdo a su perfil de riesgo y según sea aplicable.</w:t>
      </w:r>
    </w:p>
    <w:p w14:paraId="4A6F9462"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59C61BF" w14:textId="2A0F5519" w:rsidR="001815AC" w:rsidRPr="0057078F" w:rsidRDefault="00000000" w:rsidP="0057078F">
      <w:pPr>
        <w:pStyle w:val="Heading2"/>
        <w:numPr>
          <w:ilvl w:val="1"/>
          <w:numId w:val="28"/>
        </w:numPr>
        <w:spacing w:line="276" w:lineRule="auto"/>
        <w:rPr>
          <w:rFonts w:cs="Calibri"/>
        </w:rPr>
      </w:pPr>
      <w:bookmarkStart w:id="719" w:name="_Toc176997899"/>
      <w:r>
        <w:rPr>
          <w:rFonts w:cs="Calibri"/>
        </w:rPr>
        <w:t xml:space="preserve">DEBIDA DILIGENCIA PARA LA IDENTIFICACIÓN Y VINCULACIÓN DE POSIBLES CLIENTES</w:t>
      </w:r>
      <w:bookmarkEnd w:id="719"/>
    </w:p>
    <w:p w14:paraId="4B5EB6AD" w14:textId="77777777" w:rsidR="001815AC" w:rsidRPr="0057078F" w:rsidRDefault="001815AC" w:rsidP="0057078F">
      <w:pPr>
        <w:spacing w:line="276" w:lineRule="auto"/>
        <w:jc w:val="both"/>
        <w:rPr>
          <w:rFonts w:ascii="Calibri" w:eastAsia="Calibri" w:hAnsi="Calibri" w:cs="Calibri"/>
          <w:color w:val="1A1A1A"/>
          <w:sz w:val="24"/>
          <w:szCs w:val="24"/>
        </w:rPr>
      </w:pPr>
    </w:p>
    <w:p w14:paraId="0B92DFF8"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 xml:space="preserve">Propi establece que el cumplimiento de las medidas aprobadas para el conocimiento del cliente o contraparte es responsabilidad de todo el personal ejecutivo y operativo, en especial los que tienen contacto con clientes para la formalización de negocios. En el establecimiento de la relación comercial se debe de identificar al cliente o contraparte de forma fehaciente, por medio de la Política de Conocimiento del Cliente, los procedimientos y controles adoptados por Propi para mitigar el riesgo de LD/FT/FPADM.</w:t>
      </w:r>
    </w:p>
    <w:p w14:paraId="1CA6EDC2"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 conformidad con el enfoque basado en riesgo (artículos 8 al 11 y 22 del Decreto 15-2026), el nivel de debida diligencia aplicable a cada cliente se asigna combinando el valor de la operación con el perfil de riesgo del cliente; el perfil de riesgo solo puede elevar el nivel, nunca reducirlo. Los parámetros de valor y de perfil, así como la documentación mínima por tipo de cliente, se establecen en la Política de Conocimiento del Cliente vigente.</w:t>
      </w:r>
    </w:p>
    <w:p w14:paraId="4AFBFBF3" w14:textId="5290C79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Antes de establecer la relación de negocios, todo posible cliente deberá proporcionar la información de identificación requerida (identidad, razón social o denominación, edad, ocupación u objeto social, estado civil, domicilio, nacionalidad, personería, capacidad legal y representación; y, tratándose de personas extranjeras, la comprobación de su ingreso y permanencia legal en el país, su condición migratoria y, cuando no sean residentes, la identificación de quien las representará legalmente) y completar el Formulario Conoce a tu Cliente y el formulario de creación de expediente que establezca la IVE, cualquiera que sea el nivel de debida diligencia aplicable, por medio de la herramienta tecnológica que designe el Oficial de Cumplimiento. Toda la información y su documentación de respaldo será revisada y aprobada por el Oficial de Cumplimiento.</w:t>
      </w:r>
    </w:p>
    <w:p>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Momentos y medidas de la debida diligencia (artículo 21). Las medidas de debida diligencia se aplicarán a todos los clientes cuando: a) se inicie la relación de negocios; b) se realicen transacciones por encima de los umbrales que establezca la reglamentación; c) existan transacciones inusuales; d) surjan dudas sobre la veracidad o suficiencia de los datos obtenidos previamente; e) se contraten productos o servicios adicionales que alteren la calificación de riesgo; y f) en los demás casos previstos en la Ley y su reglamentación.</w:t>
      </w:r>
    </w:p>
    <w:p>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Las medidas de debida diligencia consisten en: 1) identificar y verificar la información del cliente y de quienes actúan en su nombre y en qué calidad, utilizando documentos, datos e información confiable de fuentes independientes; 2) identificar al beneficiario final y tomar medidas razonables para verificar su identidad, conforme a la Política de Identificación y Verificación del Beneficiario Final vigente; 3) obtener la información necesaria para comprender el propósito de la relación de negocios; 4) establecer el perfil del cliente y asignarle un nivel de riesgo; y 5) efectuar seguimiento continuo durante la relación de negocios, examinando que las transacciones sean consistentes con el perfil, el nivel de riesgo asignado, el origen de los fondos y los parámetros de normalidad del sector.</w:t>
      </w:r>
    </w:p>
    <w:p>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Inicio de la relación de negocios y momento de la verificación (artículo 22). Para el cliente comprador de un inmueble, la relación de negocios se inicia al momento de la reserva, con independencia de que el pago se realice después; para las desarrolladoras, corredores externos, proveedores y demás contrapartes, con la firma del contrato de Alianza Comercial o del contrato que corresponda. La identificación del cliente y de su beneficiario final y el cruce en listas deben completarse antes de que Propi habilite la reserva o entregue al cliente el número de cuenta para el pago. La verificación de la información se efectúa al inicio de la relación de negocios o al realizar transacciones para clientes ocasionales.</w:t>
      </w:r>
    </w:p>
    <w:p>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Diferimiento de la verificación. Propi no difiere la verificación de la información del cliente, de quien actúe en su nombre ni del beneficiario final: la identificación, la verificación y el cruce en listas se completan antes de habilitar la reserva o de entregar el número de cuenta para el pago, y ninguna relación de negocios se establece sin el dictamen del Oficial de Cumplimiento. En consecuencia, Propi no adopta los supuestos de verificación posterior que permite el artículo 22 del Decreto 15-2026; cualquier cambio a esta política requerirá incorporar previamente en este Manual los supuestos tasados en que procedería el diferimiento, conforme a dicho artículo.</w:t>
      </w:r>
    </w:p>
    <w:p>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Abstención y terminación. Propi se abstendrá de establecer relaciones de negocios o de ejecutar operaciones cuando le sea imposible aplicar las medidas de debida diligencia. Cuando la imposibilidad surja durante la relación de negocios, Propi le pondrá fin y el Oficial de Cumplimiento practicará y documentará un examen para determinar si procede un Reporte de Transacción Sospechosa (artículo 22). Los contratos con clientes y contrapartes incorporarán una manifestación de que Propi es Persona Obligada ante la Superintendencia de Bancos a través de la IVE conforme al Decreto 15-2026, y una cláusula de terminación por incumplimiento de los requerimientos de cumplimiento normativo.</w:t>
      </w:r>
    </w:p>
    <w:p>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Niveles de debida diligencia. La debida diligencia simplificada solo podrá aplicarse cuando se haya identificado y verificado previamente que el tipo de cliente, producto, servicio o transacción representa un riesgo menor conforme a la evaluación de riesgo documentada; no se aplicará ante una transacción inusual y dejará de aplicarse cuando se identifique un nivel de riesgo alto (artículo 23). La debida diligencia intensificada se aplicará cuando se identifiquen riesgos altos, cuando se establezcan relaciones o transacciones con personas de países o jurisdicciones de alto riesgo según el GAFI y en las situaciones que comunique la IVE (artículo 24); su desarrollo consta en la Política de Debida Diligencia Reforzada vigente.</w:t>
      </w:r>
    </w:p>
    <w:p>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Situaciones especiales (artículo 25). Propi adoptará medidas de debida diligencia adicionales, conforme a la Política de Debida Diligencia Reforzada, cuando el cliente o su beneficiario final sea una Persona Expuesta Políticamente, su pariente en primer grado de consanguinidad, su cónyuge o conviviente o su asociado cercano; cuando sea contratista o proveedor del Estado; cuando se trate de organizaciones sin fines de lucro que reciban o administren fondos del Estado o del extranjero, o de personas jurídicas privadas sin fines de lucro; cuando ninguna de las partes esté domiciliada en el país; cuando se trate de fideicomisos u otras estructuras jurídicas; cuando la relación o transacción no implique la presencia física de las partes, atendiendo a los riesgos de las nuevas tecnologías; cuando las transacciones en efectivo o las transferencias de fondos superen los montos que fije la reglamentación; y en los demás casos que establezca la reglamentación de la Ley o disponga la Superintendencia de Bancos a través de la IVE (artículo 25, literal n, y último párrafo).</w:t>
      </w:r>
    </w:p>
    <w:p w14:paraId="3FFD7644"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732" w:name="_heading=h.3j2qqm3" w:colFirst="0" w:colLast="0"/>
      <w:bookmarkEnd w:id="732"/>
    </w:p>
    <w:p w14:paraId="79AED223" w14:textId="77777777" w:rsidR="001815AC" w:rsidRPr="0057078F" w:rsidRDefault="00000000" w:rsidP="0057078F">
      <w:pPr>
        <w:pStyle w:val="Heading3"/>
        <w:numPr>
          <w:ilvl w:val="2"/>
          <w:numId w:val="30"/>
        </w:numPr>
        <w:spacing w:line="276" w:lineRule="auto"/>
        <w:ind w:left="2520"/>
        <w:jc w:val="both"/>
        <w:rPr>
          <w:rFonts w:ascii="Calibri" w:eastAsia="Calibri" w:hAnsi="Calibri" w:cs="Calibri"/>
          <w:color w:val="1A1A1A"/>
          <w:sz w:val="24"/>
          <w:szCs w:val="24"/>
        </w:rPr>
      </w:pPr>
      <w:bookmarkStart w:id="733" w:name="_Toc176997900"/>
      <w:bookmarkEnd w:id="733"/>
      <w:r>
        <w:rPr>
          <w:rFonts w:ascii="Calibri" w:eastAsia="Calibri" w:hAnsi="Calibri" w:cs="Calibri"/>
          <w:color w:val="1A1A1A"/>
          <w:sz w:val="24"/>
          <w:szCs w:val="24"/>
        </w:rPr>
        <w:t xml:space="preserve">Debida Diligencia simplificada</w:t>
      </w:r>
    </w:p>
    <w:p w14:paraId="42C074D6" w14:textId="65E63DD5" w:rsidR="001815AC" w:rsidRPr="0057078F" w:rsidRDefault="00000000" w:rsidP="0057078F">
      <w:pPr>
        <w:keepNext/>
        <w:keepLines/>
        <w:pBdr>
          <w:top w:val="nil"/>
          <w:left w:val="nil"/>
          <w:bottom w:val="nil"/>
          <w:right w:val="nil"/>
          <w:between w:val="nil"/>
        </w:pBdr>
        <w:spacing w:before="200" w:after="0" w:line="276" w:lineRule="auto"/>
        <w:jc w:val="both"/>
        <w:rPr>
          <w:rFonts w:ascii="Calibri" w:eastAsia="Calibri" w:hAnsi="Calibri" w:cs="Calibri"/>
          <w:color w:val="1A1A1A"/>
          <w:sz w:val="24"/>
          <w:szCs w:val="24"/>
        </w:rPr>
      </w:pPr>
      <w:bookmarkStart w:id="734" w:name="_heading=h.xs368gtufz03" w:colFirst="0" w:colLast="0"/>
      <w:bookmarkEnd w:id="734"/>
      <w:r>
        <w:rPr>
          <w:rFonts w:ascii="Calibri" w:eastAsia="Calibri" w:hAnsi="Calibri" w:cs="Calibri"/>
          <w:b/>
          <w:color w:val="1A1A1A"/>
          <w:sz w:val="24"/>
          <w:szCs w:val="24"/>
        </w:rPr>
        <w:t xml:space="preserve">La debida diligencia simplificada se aplicará a los clientes clasificados en riesgo bajo conforme a la Política de Conocimiento del Cliente, en los términos del artículo 23 del Decreto 15-2026. La debida diligencia simplificada no exime de la identificación y verificación del cliente y de su beneficiario final ni del cruce en listas; reduce la intensidad de la documentación de respaldo y del seguimiento, en los términos de dicha política.</w:t>
      </w:r>
    </w:p>
    <w:p w14:paraId="6C4F13C6"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0B6918F" w14:textId="77777777" w:rsidR="001815AC" w:rsidRPr="0057078F" w:rsidRDefault="00000000" w:rsidP="0057078F">
      <w:pPr>
        <w:pStyle w:val="Heading3"/>
        <w:numPr>
          <w:ilvl w:val="2"/>
          <w:numId w:val="30"/>
        </w:numPr>
        <w:spacing w:line="276" w:lineRule="auto"/>
        <w:jc w:val="both"/>
        <w:rPr>
          <w:rFonts w:ascii="Calibri" w:eastAsia="Calibri" w:hAnsi="Calibri" w:cs="Calibri"/>
          <w:color w:val="1A1A1A"/>
          <w:sz w:val="24"/>
          <w:szCs w:val="24"/>
        </w:rPr>
      </w:pPr>
      <w:bookmarkStart w:id="738" w:name="_Toc176997901"/>
      <w:r>
        <w:rPr>
          <w:rFonts w:ascii="Calibri" w:eastAsia="Calibri" w:hAnsi="Calibri" w:cs="Calibri"/>
          <w:color w:val="1A1A1A"/>
          <w:sz w:val="24"/>
          <w:szCs w:val="24"/>
        </w:rPr>
        <w:t>Debida Diligencia estándar</w:t>
      </w:r>
      <w:bookmarkEnd w:id="738"/>
    </w:p>
    <w:p w14:paraId="66FAF3BD" w14:textId="7F74AD11"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debida diligencia estándar se aplicará a los clientes clasificados en riesgo medio conforme a la Política de Conocimiento del Cliente, evaluando además las características del cliente, su país de procedencia, su actividad económica y el país de origen de sus fondos.</w:t>
      </w:r>
    </w:p>
    <w:p w14:paraId="44657CDE"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474170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4A370B4" w14:textId="77777777" w:rsidR="001815AC" w:rsidRPr="0057078F" w:rsidRDefault="00000000" w:rsidP="0057078F">
      <w:pPr>
        <w:spacing w:line="276" w:lineRule="auto"/>
        <w:rPr>
          <w:rFonts w:ascii="Calibri" w:hAnsi="Calibri" w:cs="Calibri"/>
          <w:sz w:val="24"/>
          <w:szCs w:val="24"/>
        </w:rPr>
      </w:pPr>
      <w:r>
        <w:rPr>
          <w:rFonts w:ascii="Calibri" w:hAnsi="Calibri" w:cs="Calibri"/>
          <w:sz w:val="24"/>
          <w:szCs w:val="24"/>
        </w:rPr>
        <w:t xml:space="preserve">La documentación mínima por tipo de cliente (persona individual o jurídica, nacional o extranjera) se establece en la Política de Conocimiento del Cliente vigente y comprende, como mínimo, el documento de identificación, el comprobante de domicilio, el número de identificación tributaria, las credenciales de representantes o apoderados, los documentos constitutivos y la nómina de accionistas y la identificación de los beneficiarios finales conforme a la Política de Identificación y Verificación del Beneficiario Final.</w:t>
      </w:r>
    </w:p>
    <w:p w14:paraId="3D27A672" w14:textId="77777777" w:rsidR="001815AC" w:rsidRPr="0057078F" w:rsidRDefault="00000000" w:rsidP="0057078F">
      <w:pPr>
        <w:pBdr>
          <w:top w:val="nil"/>
          <w:left w:val="nil"/>
          <w:bottom w:val="nil"/>
          <w:right w:val="nil"/>
          <w:between w:val="nil"/>
        </w:pBdr>
        <w:spacing w:line="276" w:lineRule="auto"/>
        <w:rPr>
          <w:rFonts w:ascii="Calibri" w:eastAsia="Arial" w:hAnsi="Calibri" w:cs="Calibri"/>
          <w:smallCaps/>
          <w:color w:val="1A1A1A"/>
          <w:sz w:val="24"/>
          <w:szCs w:val="24"/>
        </w:rPr>
      </w:pPr>
      <w:bookmarkStart w:id="745" w:name="_heading=h.2xcytpi" w:colFirst="0" w:colLast="0"/>
      <w:bookmarkEnd w:id="745"/>
    </w:p>
    <w:tbl>
      <w:tblPr>
        <w:tblStyle w:val="a2"/>
        <w:tblW w:w="9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1276"/>
        <w:gridCol w:w="1276"/>
        <w:gridCol w:w="1134"/>
        <w:gridCol w:w="1412"/>
      </w:tblGrid>
    </w:tbl>
    <w:p w14:paraId="1B8B7FA2"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p>
    <w:p w14:paraId="51AC312F" w14:textId="45CCD94B"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b/>
          <w:color w:val="000000"/>
          <w:sz w:val="24"/>
          <w:szCs w:val="24"/>
        </w:rPr>
      </w:pPr>
      <w:r>
        <w:rPr>
          <w:rFonts w:ascii="Calibri" w:eastAsia="Calibri" w:hAnsi="Calibri" w:cs="Calibri"/>
          <w:b/>
          <w:color w:val="000000"/>
          <w:sz w:val="24"/>
          <w:szCs w:val="24"/>
        </w:rPr>
        <w:t xml:space="preserve">En el proceso de vinculación y previo a establecer la relación de negocios, Propi verificará que el cliente, sus accionistas o socios con participación igual o mayor al quince por ciento (15 %), su representante legal, apoderados, miembros del órgano de administración y beneficiarios finales no figuren en las listas de sanciones y de cautela nacionales e internacionales que determine el Oficial de Cumplimiento (entre ellas las del Consejo de Seguridad de las Naciones Unidas, OFAC e Interpol) ni en las listas de países o jurisdicciones de alto riesgo del GAFI. La verificación se realizará por medio de la herramienta tecnológica que designe el Oficial de Cumplimiento, quien aprobará la vinculación una vez validada la información y documentación; la constancia del cruce se conservará en el expediente.</w:t>
      </w:r>
    </w:p>
    <w:p w14:paraId="55E7AEE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42E34DB" w14:textId="77777777" w:rsidR="001815AC" w:rsidRPr="0057078F" w:rsidRDefault="00000000" w:rsidP="0057078F">
      <w:pPr>
        <w:pStyle w:val="Heading3"/>
        <w:numPr>
          <w:ilvl w:val="2"/>
          <w:numId w:val="30"/>
        </w:numPr>
        <w:spacing w:line="276" w:lineRule="auto"/>
        <w:ind w:left="2520"/>
        <w:jc w:val="both"/>
        <w:rPr>
          <w:rFonts w:ascii="Calibri" w:eastAsia="Calibri" w:hAnsi="Calibri" w:cs="Calibri"/>
          <w:color w:val="1A1A1A"/>
          <w:sz w:val="24"/>
          <w:szCs w:val="24"/>
        </w:rPr>
      </w:pPr>
      <w:bookmarkStart w:id="764" w:name="_Toc176997902"/>
      <w:r>
        <w:rPr>
          <w:rFonts w:ascii="Calibri" w:eastAsia="Calibri" w:hAnsi="Calibri" w:cs="Calibri"/>
          <w:color w:val="1A1A1A"/>
          <w:sz w:val="24"/>
          <w:szCs w:val="24"/>
        </w:rPr>
        <w:t>Debida Diligencia intensificada</w:t>
      </w:r>
      <w:bookmarkEnd w:id="764"/>
    </w:p>
    <w:p w14:paraId="6BAE73F9"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EA3FD10"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Los clientes considerados de alto riesgo incrementan el grado de exposición de Propi al Riesgo LD/FT/FPADM; por ello, las medidas de debida diligencia deben intensificarse a fin de comprender claramente sus transacciones y mantener un monitoreo continuo que permita detectar actividades inusuales y mitigar los riesgos que puedan afectar a Propi.</w:t>
      </w:r>
    </w:p>
    <w:p w14:paraId="14300DF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2950E62"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la debida diligencia intensificada será necesario requerir a los clientes de alto riesgo medidas adicionales a las de la debida diligencia estándar, verificando cuidadosamente la documentación presentada. Propi debe cumplir con las obligaciones de debida diligencia intensificada en los casos de aumento del Riesgo LD/FT/FPADM.</w:t>
      </w:r>
    </w:p>
    <w:p w14:paraId="7B5581E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A65F6AE" w14:textId="48E4FF0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765" w:name="_heading=h.2bn6wsx" w:colFirst="0" w:colLast="0"/>
      <w:bookmarkEnd w:id="765"/>
      <w:r>
        <w:rPr>
          <w:rFonts w:ascii="Calibri" w:eastAsia="Calibri" w:hAnsi="Calibri" w:cs="Calibri"/>
          <w:color w:val="1A1A1A"/>
          <w:sz w:val="24"/>
          <w:szCs w:val="24"/>
        </w:rPr>
        <w:t xml:space="preserve">Se consideran de riesgo alto los clientes que así resulten clasificados conforme a la matriz de riesgo y a la Política de Conocimiento del Cliente y, en todo caso, las Personas Expuestas Políticamente y sus personas vinculadas. Los clientes comprendidos en las demás situaciones especiales del artículo 25 del Decreto 15-2026 quedan sujetos a las medidas de debida diligencia adicionales de la Política de Debida Diligencia Reforzada, con la clasificación de riesgo que resulte de la matriz.</w:t>
      </w:r>
    </w:p>
    <w:p w14:paraId="54B530A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61930EB"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highlight w:val="cyan"/>
        </w:rPr>
      </w:pPr>
      <w:r>
        <w:rPr>
          <w:rFonts w:ascii="Calibri" w:eastAsia="Calibri" w:hAnsi="Calibri" w:cs="Calibri"/>
          <w:color w:val="1A1A1A"/>
          <w:sz w:val="24"/>
          <w:szCs w:val="24"/>
        </w:rPr>
        <w:t xml:space="preserve">La información y documentación adicional exigible en la debida diligencia intensificada se establece en la Política de Debida Diligencia Reforzada vigente y podrá comprender, entre otros:</w:t>
      </w:r>
    </w:p>
    <w:p w14:paraId="4F767991" w14:textId="77777777" w:rsidR="001815AC" w:rsidRPr="0057078F" w:rsidRDefault="00000000" w:rsidP="0057078F">
      <w:pPr>
        <w:pBdr>
          <w:top w:val="nil"/>
          <w:left w:val="nil"/>
          <w:bottom w:val="nil"/>
          <w:right w:val="nil"/>
          <w:between w:val="nil"/>
        </w:pBdr>
        <w:spacing w:after="0" w:line="276" w:lineRule="auto"/>
        <w:ind w:left="360"/>
        <w:jc w:val="both"/>
        <w:rPr>
          <w:rFonts w:ascii="Calibri" w:eastAsia="Calibri" w:hAnsi="Calibri" w:cs="Calibri"/>
          <w:color w:val="1A1A1A"/>
          <w:sz w:val="24"/>
          <w:szCs w:val="24"/>
        </w:rPr>
      </w:pPr>
      <w:r>
        <w:rPr>
          <w:rFonts w:ascii="Calibri" w:eastAsia="Calibri" w:hAnsi="Calibri" w:cs="Calibri"/>
          <w:color w:val="1A1A1A"/>
          <w:sz w:val="24"/>
          <w:szCs w:val="24"/>
        </w:rPr>
        <w:t>•</w:t>
        <w:tab/>
        <w:t>Estados financieros al cierre del último ejercicio contable.</w:t>
      </w:r>
    </w:p>
    <w:p w14:paraId="0F22937C" w14:textId="77777777" w:rsidR="001815AC" w:rsidRPr="0057078F" w:rsidRDefault="00000000" w:rsidP="0057078F">
      <w:pPr>
        <w:pBdr>
          <w:top w:val="nil"/>
          <w:left w:val="nil"/>
          <w:bottom w:val="nil"/>
          <w:right w:val="nil"/>
          <w:between w:val="nil"/>
        </w:pBdr>
        <w:spacing w:after="0" w:line="276" w:lineRule="auto"/>
        <w:ind w:left="360"/>
        <w:jc w:val="both"/>
        <w:rPr>
          <w:rFonts w:ascii="Calibri" w:eastAsia="Calibri" w:hAnsi="Calibri" w:cs="Calibri"/>
          <w:color w:val="1A1A1A"/>
          <w:sz w:val="24"/>
          <w:szCs w:val="24"/>
        </w:rPr>
      </w:pPr>
      <w:r>
        <w:rPr>
          <w:rFonts w:ascii="Calibri" w:eastAsia="Calibri" w:hAnsi="Calibri" w:cs="Calibri"/>
          <w:color w:val="1A1A1A"/>
          <w:sz w:val="24"/>
          <w:szCs w:val="24"/>
        </w:rPr>
        <w:t>•</w:t>
        <w:tab/>
        <w:t>Dictamen del auditor externo del último ejercicio contable.</w:t>
      </w:r>
    </w:p>
    <w:p w14:paraId="3C80AD6D" w14:textId="77777777" w:rsidR="001815AC" w:rsidRPr="0057078F" w:rsidRDefault="00000000" w:rsidP="0057078F">
      <w:pPr>
        <w:pBdr>
          <w:top w:val="nil"/>
          <w:left w:val="nil"/>
          <w:bottom w:val="nil"/>
          <w:right w:val="nil"/>
          <w:between w:val="nil"/>
        </w:pBdr>
        <w:spacing w:after="0" w:line="276" w:lineRule="auto"/>
        <w:ind w:left="360"/>
        <w:jc w:val="both"/>
        <w:rPr>
          <w:rFonts w:ascii="Calibri" w:eastAsia="Calibri" w:hAnsi="Calibri" w:cs="Calibri"/>
          <w:color w:val="1A1A1A"/>
          <w:sz w:val="24"/>
          <w:szCs w:val="24"/>
        </w:rPr>
      </w:pPr>
      <w:r>
        <w:rPr>
          <w:rFonts w:ascii="Calibri" w:eastAsia="Calibri" w:hAnsi="Calibri" w:cs="Calibri"/>
          <w:color w:val="1A1A1A"/>
          <w:sz w:val="24"/>
          <w:szCs w:val="24"/>
        </w:rPr>
        <w:t>•</w:t>
        <w:tab/>
        <w:t xml:space="preserve">Declaraciones de Impuesto Sobre la Renta de los últimos dos ejercicios fiscales.</w:t>
      </w:r>
    </w:p>
    <w:p w14:paraId="2F89FCF9" w14:textId="77777777" w:rsidR="001815AC" w:rsidRPr="0057078F" w:rsidRDefault="00000000" w:rsidP="0057078F">
      <w:pPr>
        <w:pBdr>
          <w:top w:val="nil"/>
          <w:left w:val="nil"/>
          <w:bottom w:val="nil"/>
          <w:right w:val="nil"/>
          <w:between w:val="nil"/>
        </w:pBdr>
        <w:spacing w:after="0" w:line="276" w:lineRule="auto"/>
        <w:ind w:left="360"/>
        <w:jc w:val="both"/>
        <w:rPr>
          <w:rFonts w:ascii="Calibri" w:eastAsia="Calibri" w:hAnsi="Calibri" w:cs="Calibri"/>
          <w:color w:val="1A1A1A"/>
          <w:sz w:val="24"/>
          <w:szCs w:val="24"/>
        </w:rPr>
      </w:pPr>
      <w:r>
        <w:rPr>
          <w:rFonts w:ascii="Calibri" w:eastAsia="Calibri" w:hAnsi="Calibri" w:cs="Calibri"/>
          <w:color w:val="1A1A1A"/>
          <w:sz w:val="24"/>
          <w:szCs w:val="24"/>
        </w:rPr>
        <w:t>•</w:t>
        <w:tab/>
        <w:t>Declaraciones de IVA de los últimos 6 períodos tributarios.</w:t>
      </w:r>
    </w:p>
    <w:p w14:paraId="5BBAB625"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4EA938B"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Así mismo, se podrán aplicar las siguientes medidas: </w:t>
      </w:r>
    </w:p>
    <w:p w14:paraId="49498AAE" w14:textId="442201B7" w:rsidR="001815AC" w:rsidRPr="0057078F" w:rsidRDefault="00000000" w:rsidP="0057078F">
      <w:pPr>
        <w:numPr>
          <w:ilvl w:val="0"/>
          <w:numId w:val="3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Obtener la aprobación por escrito del órgano de dirección superior, o del nivel gerencial o comité en que este delegue, para establecer o continuar relaciones de negocios de riesgo alto, previo dictamen del Oficial de Cumplimiento.</w:t>
      </w:r>
    </w:p>
    <w:p w14:paraId="255A0802" w14:textId="77777777" w:rsidR="001815AC" w:rsidRPr="0057078F" w:rsidRDefault="00000000" w:rsidP="0057078F">
      <w:pPr>
        <w:numPr>
          <w:ilvl w:val="0"/>
          <w:numId w:val="3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Cualquier otra medida intensificada que sea eficaz y proporcional a los riesgos identificados por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w:t>
      </w:r>
    </w:p>
    <w:p w14:paraId="09F2038E"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47F155C"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b/>
          <w:color w:val="000000"/>
          <w:sz w:val="24"/>
          <w:szCs w:val="24"/>
        </w:rPr>
        <w:t xml:space="preserve">La verificación en listas descrita en esta sección se aplicará con mayor rigurosidad a los clientes de riesgo alto, y toda coincidencia generará una alerta que deberá ser analizada por el Oficial de Cumplimiento antes de autorizar o continuar la relación de negocios.</w:t>
      </w:r>
    </w:p>
    <w:p w14:paraId="28D12D25"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A633BCB" w14:textId="77777777" w:rsidR="001815AC" w:rsidRPr="0057078F" w:rsidRDefault="00000000" w:rsidP="0057078F">
      <w:pPr>
        <w:pStyle w:val="Heading3"/>
        <w:numPr>
          <w:ilvl w:val="2"/>
          <w:numId w:val="30"/>
        </w:numPr>
        <w:spacing w:line="276" w:lineRule="auto"/>
        <w:ind w:left="2520"/>
        <w:jc w:val="both"/>
        <w:rPr>
          <w:rFonts w:ascii="Calibri" w:eastAsia="Calibri" w:hAnsi="Calibri" w:cs="Calibri"/>
          <w:color w:val="1A1A1A"/>
          <w:sz w:val="24"/>
          <w:szCs w:val="24"/>
        </w:rPr>
      </w:pPr>
      <w:bookmarkStart w:id="774" w:name="_Toc176997903"/>
      <w:r>
        <w:rPr>
          <w:rFonts w:ascii="Calibri" w:eastAsia="Calibri" w:hAnsi="Calibri" w:cs="Calibri"/>
          <w:color w:val="1A1A1A"/>
          <w:sz w:val="24"/>
          <w:szCs w:val="24"/>
        </w:rPr>
        <w:t xml:space="preserve">Debida Diligencia para clientes PEP</w:t>
      </w:r>
      <w:bookmarkEnd w:id="774"/>
    </w:p>
    <w:p w14:paraId="0BF9BEA1" w14:textId="286F948E" w:rsidR="001815AC" w:rsidRPr="0057078F" w:rsidRDefault="001815AC" w:rsidP="0057078F">
      <w:pPr>
        <w:spacing w:before="2" w:line="276" w:lineRule="auto"/>
        <w:ind w:right="-2"/>
        <w:jc w:val="both"/>
        <w:rPr>
          <w:rFonts w:ascii="Calibri" w:eastAsia="Calibri" w:hAnsi="Calibri" w:cs="Calibri"/>
          <w:color w:val="1A1A1A"/>
          <w:sz w:val="24"/>
          <w:szCs w:val="24"/>
        </w:rPr>
      </w:pPr>
    </w:p>
    <w:p w14:paraId="1DFEF4E1" w14:textId="29DF0869" w:rsidR="00B51ECD" w:rsidRDefault="00000000" w:rsidP="00B51ECD">
      <w:pPr>
        <w:pBdr>
          <w:top w:val="nil"/>
          <w:left w:val="nil"/>
          <w:bottom w:val="nil"/>
          <w:right w:val="nil"/>
          <w:between w:val="nil"/>
        </w:pBdr>
        <w:spacing w:after="0" w:line="360" w:lineRule="auto"/>
        <w:jc w:val="both"/>
        <w:rPr>
          <w:rFonts w:ascii="Calibri" w:hAnsi="Calibri"/>
          <w:color w:val="1A1A1A" w:themeColor="background1" w:themeShade="1A"/>
          <w:sz w:val="24"/>
          <w:szCs w:val="24"/>
        </w:rPr>
      </w:pPr>
      <w:r>
        <w:rPr>
          <w:rFonts w:ascii="Calibri" w:eastAsia="Calibri" w:hAnsi="Calibri" w:cs="Calibri"/>
          <w:b/>
          <w:color w:val="1A1A1A"/>
          <w:sz w:val="24"/>
          <w:szCs w:val="24"/>
        </w:rPr>
        <w:t xml:space="preserve">Propi establece como mecanismo de identificación de las Personas Expuestas Políticamente (PEP), así como de sus parientes dentro del primer grado de consanguinidad, su cónyuge o conviviente y sus asociados cercanos, las siguientes medidas y procedimientos de debida diligencia adicionales, acordes al riesgo que implica relacionarse con una PEP (artículo 25, literal a, del Decreto 15-2026):</w:t>
      </w:r>
    </w:p>
    <w:p w14:paraId="5905126F" w14:textId="77777777" w:rsidR="00B51ECD" w:rsidRDefault="00B51ECD" w:rsidP="00B51ECD">
      <w:pPr>
        <w:pStyle w:val="ListParagraph"/>
        <w:pBdr>
          <w:top w:val="nil"/>
          <w:left w:val="nil"/>
          <w:bottom w:val="nil"/>
          <w:right w:val="nil"/>
          <w:between w:val="nil"/>
        </w:pBdr>
        <w:spacing w:after="0" w:line="360" w:lineRule="auto"/>
        <w:jc w:val="both"/>
        <w:rPr>
          <w:rFonts w:ascii="Calibri" w:hAnsi="Calibri"/>
          <w:color w:val="1A1A1A" w:themeColor="background1" w:themeShade="1A"/>
          <w:sz w:val="24"/>
          <w:szCs w:val="24"/>
        </w:rPr>
      </w:pPr>
    </w:p>
    <w:p w14:paraId="4BA4CE5E" w14:textId="77610A74" w:rsidR="005822A1" w:rsidRDefault="00B51ECD" w:rsidP="00732A7B">
      <w:pPr>
        <w:pStyle w:val="ListParagraph"/>
        <w:pBdr>
          <w:top w:val="nil"/>
          <w:left w:val="nil"/>
          <w:bottom w:val="nil"/>
          <w:right w:val="nil"/>
          <w:between w:val="nil"/>
        </w:pBdr>
        <w:spacing w:after="0" w:line="360" w:lineRule="auto"/>
        <w:jc w:val="both"/>
        <w:rPr>
          <w:rFonts w:ascii="Calibri" w:hAnsi="Calibri"/>
          <w:color w:val="1A1A1A" w:themeColor="background1" w:themeShade="1A"/>
          <w:sz w:val="24"/>
          <w:szCs w:val="24"/>
        </w:rPr>
      </w:pPr>
      <w:r>
        <w:rPr>
          <w:rFonts w:ascii="Calibri" w:hAnsi="Calibri"/>
          <w:b/>
          <w:bCs/>
          <w:color w:val="1A1A1A" w:themeColor="background1" w:themeShade="1A"/>
          <w:sz w:val="24"/>
          <w:szCs w:val="24"/>
        </w:rPr>
        <w:t xml:space="preserve">Personas Expuestas Políticamente Nacionales: se entenderán como PEP nacionales todas aquellas personas individuales identificadas al inicio o en el transcurso de la relación contractual, nacionales o naturalizados, que desempeñan o han desempeñado cargos públicos prominentes, conforme a la resolución anual de la Superintendencia de Bancos prevista en el artículo 2, literal g), del Decreto 15-2026. </w:t>
      </w:r>
    </w:p>
    <w:p w14:paraId="6AF3C80E" w14:textId="77777777" w:rsidR="00A02C80" w:rsidRDefault="00B51ECD" w:rsidP="00A02C80">
      <w:pPr>
        <w:pStyle w:val="ListParagraph"/>
        <w:pBdr>
          <w:top w:val="nil"/>
          <w:left w:val="nil"/>
          <w:bottom w:val="nil"/>
          <w:right w:val="nil"/>
          <w:between w:val="nil"/>
        </w:pBdr>
        <w:spacing w:after="0" w:line="360" w:lineRule="auto"/>
        <w:jc w:val="both"/>
        <w:rPr>
          <w:rFonts w:ascii="Calibri" w:hAnsi="Calibri"/>
          <w:color w:val="1A1A1A" w:themeColor="background1" w:themeShade="1A"/>
          <w:sz w:val="24"/>
          <w:szCs w:val="24"/>
        </w:rPr>
      </w:pPr>
      <w:r>
        <w:rPr>
          <w:rFonts w:ascii="Calibri" w:hAnsi="Calibri"/>
          <w:color w:val="1A1A1A" w:themeColor="background1" w:themeShade="1A"/>
          <w:sz w:val="24"/>
          <w:szCs w:val="24"/>
        </w:rPr>
        <w:t xml:space="preserve">Las personas catalogadas como PEP continuarán sujetas a debida diligencia reforzada mientras desempeñen el cargo y durante un (1) año posterior a su cese; vencido dicho plazo dejarán de ser consideradas PEP sin necesidad de trámite alguno. Propi podrá, con base en su evaluación de riesgo documentada, mantener al cliente en riesgo alto por antecedente de exposición política, sin que ello equivalga a la condición legal de PEP.</w:t>
      </w:r>
    </w:p>
    <w:p w14:paraId="0A094B86" w14:textId="77777777" w:rsidR="00A02C80" w:rsidRDefault="00A02C80" w:rsidP="00A02C80">
      <w:pPr>
        <w:pStyle w:val="ListParagraph"/>
        <w:pBdr>
          <w:top w:val="nil"/>
          <w:left w:val="nil"/>
          <w:bottom w:val="nil"/>
          <w:right w:val="nil"/>
          <w:between w:val="nil"/>
        </w:pBdr>
        <w:spacing w:after="0" w:line="360" w:lineRule="auto"/>
        <w:jc w:val="both"/>
        <w:rPr>
          <w:rFonts w:ascii="Calibri" w:hAnsi="Calibri"/>
          <w:color w:val="1A1A1A" w:themeColor="background1" w:themeShade="1A"/>
          <w:sz w:val="24"/>
          <w:szCs w:val="24"/>
        </w:rPr>
      </w:pPr>
    </w:p>
    <w:p w14:paraId="5D59C75B" w14:textId="77777777" w:rsidR="00A02C80" w:rsidRDefault="00A02C80" w:rsidP="00732A7B">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hAnsi="Calibri"/>
          <w:b/>
          <w:bCs/>
          <w:color w:val="1A1A1A" w:themeColor="background1" w:themeShade="1A"/>
          <w:sz w:val="24"/>
          <w:szCs w:val="24"/>
        </w:rPr>
        <w:t xml:space="preserve">Personas Expuestas Políticamente Extranjeras: se entenderán por PEP extranjeras y por ende, contrapartes de alto riesgo, las personas individuales que desempeñan o han desempeñado cargos públicos prominentes en otro país, o a quienes se les ha confiado una función prominente en una organización internacional.</w:t>
      </w:r>
    </w:p>
    <w:bookmarkEnd w:id="809"/>
    <w:p w14:paraId="5B4FD88D"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809" w:name="_Hlk176997749"/>
      <w:r>
        <w:rPr>
          <w:rFonts w:ascii="Calibri" w:eastAsia="Calibri" w:hAnsi="Calibri" w:cs="Calibri"/>
          <w:color w:val="1A1A1A"/>
          <w:sz w:val="24"/>
          <w:szCs w:val="24"/>
        </w:rPr>
        <w:t xml:space="preserve">Propi evaluará el riesgo basado en la función del cargo, el país en el que ejerce funciones (nacional o extranjera), el sector en el que trabaja y la exposición al manejo de fondos públicos. De igual manera se considerarán como factores de riesgo las jurisdicciones de alto riesgo, la naturaleza de la relación de negocios, las transacciones inusuales y el volumen esperado de operaciones.</w:t>
      </w:r>
    </w:p>
    <w:p w14:paraId="79FB81FE" w14:textId="77777777" w:rsidR="001815AC" w:rsidRPr="0057078F" w:rsidRDefault="00000000" w:rsidP="0057078F">
      <w:pPr>
        <w:pStyle w:val="Heading3"/>
        <w:numPr>
          <w:ilvl w:val="2"/>
          <w:numId w:val="30"/>
        </w:numPr>
        <w:spacing w:line="276" w:lineRule="auto"/>
        <w:ind w:left="2520"/>
        <w:jc w:val="both"/>
        <w:rPr>
          <w:rFonts w:ascii="Calibri" w:eastAsia="Calibri" w:hAnsi="Calibri" w:cs="Calibri"/>
          <w:color w:val="1A1A1A"/>
          <w:sz w:val="24"/>
          <w:szCs w:val="24"/>
        </w:rPr>
      </w:pPr>
      <w:bookmarkStart w:id="814" w:name="_Toc176997904"/>
      <w:bookmarkEnd w:id="814"/>
      <w:r>
        <w:rPr>
          <w:rFonts w:ascii="Calibri" w:eastAsia="Calibri" w:hAnsi="Calibri" w:cs="Calibri"/>
          <w:color w:val="1A1A1A"/>
          <w:sz w:val="24"/>
          <w:szCs w:val="24"/>
        </w:rPr>
        <w:t xml:space="preserve">Proceso para la Identificación de un PEP</w:t>
      </w:r>
    </w:p>
    <w:p w14:paraId="40B6EDB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D6CE9A2" w14:textId="22084A61" w:rsidR="003E3C2C" w:rsidRPr="0057078F" w:rsidRDefault="0093084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color w:val="1A1A1A" w:themeColor="background1" w:themeShade="1A"/>
        </w:rPr>
        <w:t xml:space="preserve">Los posibles clientes que sean Personas Expuestas Políticamente, así como sus personas vinculadas, se clasifican en riesgo alto y quedan sujetos a debida diligencia intensificada (artículo 25, literal a, del Decreto 15-2026). Con el fin de cumplir con la normativa vigente y con los estándares internacionales sobre prevención del LD/FT/FPADM, Propi establece el siguiente mecanismo de identificación de Personas Expuestas Políticamente -PEP- y personas vinculadas:</w:t>
      </w:r>
    </w:p>
    <w:p w14:paraId="313C818E"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6321FDFC" w14:textId="46717A33" w:rsidR="003E3C2C" w:rsidRPr="00B51ECD" w:rsidRDefault="003E3C2C">
      <w:pPr>
        <w:pStyle w:val="ListParagraph"/>
        <w:numPr>
          <w:ilvl w:val="0"/>
          <w:numId w:val="39"/>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hAnsi="Calibri"/>
          <w:color w:val="1A1A1A" w:themeColor="background1" w:themeShade="1A"/>
          <w:sz w:val="24"/>
          <w:szCs w:val="24"/>
        </w:rPr>
        <w:t xml:space="preserve">Verificar listados relacionados con personas individuales que desempeñan o han desempeñado cargos públicos prominentes en el país o en el extranjero (PEP), previo a establecer o iniciar cualquier negocio con clientes potenciales y durante la continuación de la relación comercial. Las listas de PEP serán revisadas periódicamente para garantizar que la información utilizada esté vigente y completa. Identificación de personas vinculadas: los posibles clientes deberán completar el Formulario Conoce a tu Cliente por medio de la herramienta tecnológica que designe el Oficial de Cumplimiento, la cual realiza una verificación por nombre en las listas de cautela y muestra una alerta automáticamente en caso de haber alguna coincidencia.</w:t>
      </w:r>
    </w:p>
    <w:p w14:paraId="5149717C"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p>
    <w:p w14:paraId="69F342B3"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p>
    <w:p w14:paraId="26B384CA" w14:textId="51634477" w:rsidR="003E3C2C" w:rsidRPr="00B51ECD" w:rsidRDefault="003E3C2C">
      <w:pPr>
        <w:pStyle w:val="ListParagraph"/>
        <w:numPr>
          <w:ilvl w:val="0"/>
          <w:numId w:val="42"/>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 xml:space="preserve">Declaración formal: el posible cliente deberá suscribir la Declaración Jurada de Persona Expuesta Políticamente, en la que manifieste si él, su cónyuge o conviviente, sus parientes en primer grado de consanguinidad o sus asociados cercanos ostentan o han ostentado dentro del último año la condición de PEP y, en caso afirmativo, proporcionar la documentación de respaldo. Por cada beneficiario final identificado se suscribirá además la Declaración Jurada correspondiente.</w:t>
      </w:r>
    </w:p>
    <w:p w14:paraId="0EEFA712" w14:textId="77777777" w:rsidR="00EB5513" w:rsidRDefault="00EB5513"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500B6ACE" w14:textId="6FE458B4" w:rsidR="00EB5513" w:rsidRPr="00BF6284" w:rsidRDefault="00EB5513" w:rsidP="00EB5513">
      <w:p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En la misma declaración se identificará a los parientes en primer grado de consanguinidad, al cónyuge o conviviente y a los asociados cercanos, quienes serán verificados en las listas de cautela por medio de la herramienta tecnológica que designe el Oficial de Cumplimiento.</w:t>
      </w:r>
    </w:p>
    <w:p w14:paraId="04723A82" w14:textId="77777777" w:rsidR="00EB5513" w:rsidRPr="00EB5513" w:rsidRDefault="00EB5513"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0BA1F98" w14:textId="6A7B0DF8"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Las personas que en el proceso de vinculación se identifiquen como Personas Expuestas Políticamente o como personas vinculadas a una PEP deberán presentar, además de la documentación exigida por la debida diligencia intensificada, la documentación adicional que establezca el Oficial de Cumplimiento.</w:t>
      </w:r>
    </w:p>
    <w:p w14:paraId="7F5ACB67"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9A9CA3F" w14:textId="27D8F5B6"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bookmarkStart w:id="947" w:name="_Hlk176953062"/>
      <w:r>
        <w:rPr>
          <w:rFonts w:ascii="Calibri" w:eastAsia="Calibri" w:hAnsi="Calibri" w:cs="Calibri"/>
          <w:color w:val="1A1A1A"/>
          <w:sz w:val="24"/>
          <w:szCs w:val="24"/>
          <w:lang w:val="es-ES"/>
        </w:rPr>
        <w:t xml:space="preserve">Una vez concluida la evaluación del cliente, se procederá a archivar la información proporcionada por el cliente en un Registro, así como cualquier documentación relacionada con la relación comercial entre Propi y el cliente. El Registro de esta información se llevará a cabo en formato digital, manteniéndose una copia en la herramienta tecnológica que designe el Oficial de Cumplimiento.</w:t>
      </w:r>
    </w:p>
    <w:p w14:paraId="21791160" w14:textId="77777777" w:rsidR="00700EB3" w:rsidRPr="0057078F" w:rsidRDefault="00700EB3"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2C17AC67" w14:textId="1AACF2B9"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 xml:space="preserve">Cuando se determine que un posible cliente o su beneficiario final es una Persona Expuesta Políticamente, dicha condición se mantendrá durante el tiempo que ocupe el cargo y por un período de un (1) año después de haberlo dejado (artículo 2, literal g, y artículo 25, literal a, del Decreto 15-2026).</w:t>
      </w:r>
    </w:p>
    <w:bookmarkEnd w:id="947"/>
    <w:p w14:paraId="4D67C627" w14:textId="77777777" w:rsidR="00700EB3" w:rsidRPr="0057078F" w:rsidRDefault="00700EB3"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593A2FAB" w14:textId="3C8A8D1D"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establecimiento o la continuidad de relaciones de negocios con clientes o contrapartes calificados como PEP requiere la autorización por escrito del órgano de dirección superior, o del nivel gerencial o comité en que este delegue, previo dictamen favorable del Oficial de Cumplimiento, quien dejará constancia de su aprobación en el expediente.</w:t>
      </w:r>
    </w:p>
    <w:p w14:paraId="2843A517"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6212165" w14:textId="77777777" w:rsidR="001815AC" w:rsidRPr="0057078F" w:rsidRDefault="00000000" w:rsidP="0057078F">
      <w:pPr>
        <w:pStyle w:val="Heading2"/>
        <w:numPr>
          <w:ilvl w:val="1"/>
          <w:numId w:val="28"/>
        </w:numPr>
        <w:spacing w:line="276" w:lineRule="auto"/>
        <w:rPr>
          <w:rFonts w:cs="Calibri"/>
        </w:rPr>
      </w:pPr>
      <w:bookmarkStart w:id="976" w:name="_Toc176997905"/>
      <w:r>
        <w:rPr>
          <w:rFonts w:cs="Calibri"/>
        </w:rPr>
        <w:t>NORMAS GENERALES DE DEBIDA DILIGENCIA</w:t>
      </w:r>
      <w:bookmarkEnd w:id="976"/>
    </w:p>
    <w:p w14:paraId="000B08D2" w14:textId="77777777" w:rsidR="001815AC" w:rsidRPr="0057078F" w:rsidRDefault="00000000" w:rsidP="0057078F">
      <w:pPr>
        <w:pStyle w:val="Heading3"/>
        <w:numPr>
          <w:ilvl w:val="2"/>
          <w:numId w:val="18"/>
        </w:numPr>
        <w:spacing w:line="276" w:lineRule="auto"/>
        <w:ind w:left="2160" w:hanging="180"/>
        <w:jc w:val="both"/>
        <w:rPr>
          <w:rFonts w:ascii="Calibri" w:eastAsia="Calibri" w:hAnsi="Calibri" w:cs="Calibri"/>
          <w:color w:val="1A1A1A"/>
          <w:sz w:val="24"/>
          <w:szCs w:val="24"/>
        </w:rPr>
      </w:pPr>
      <w:bookmarkStart w:id="977" w:name="_Toc176997906"/>
      <w:r>
        <w:rPr>
          <w:rFonts w:ascii="Calibri" w:eastAsia="Calibri" w:hAnsi="Calibri" w:cs="Calibri"/>
          <w:color w:val="1A1A1A"/>
          <w:sz w:val="24"/>
          <w:szCs w:val="24"/>
        </w:rPr>
        <w:t>Clientes no aceptados</w:t>
      </w:r>
      <w:bookmarkEnd w:id="977"/>
    </w:p>
    <w:p w14:paraId="425E0DB2" w14:textId="11529925"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bCs/>
          <w:color w:val="1A1A1A"/>
          <w:sz w:val="24"/>
          <w:szCs w:val="24"/>
        </w:rPr>
        <w:t>Propi</w:t>
      </w:r>
      <w:r>
        <w:rPr>
          <w:rFonts w:ascii="Calibri" w:eastAsia="Calibri" w:hAnsi="Calibri" w:cs="Calibri"/>
          <w:color w:val="1A1A1A"/>
          <w:sz w:val="24"/>
          <w:szCs w:val="24"/>
        </w:rPr>
        <w:t xml:space="preserve"> expresamente declara no aceptar como clientes a personas individuales o jurídicas que:</w:t>
      </w:r>
    </w:p>
    <w:p w14:paraId="2D40425A" w14:textId="421D6555"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potencial cliente o sus representantes legales, miembros de la Administración o Junta Directiva, accionistas o socios con participación igual o mayor al quince por ciento (15 %) del capital social, se encuentren incluidos en alguna de las listas de bloqueo relacionadas a los delitos de LD/FT/FPADM, tales como: lista Interpol (Organización Internacional de Policía Criminal), OFAC (Office of Foreign Assets Control), ONU (Organización de las Naciones Unidas) u otra lista que Propi, a través de su Oficial de Cumplimiento, establezca. El Oficial de Cumplimiento deberá realizar esta verificación y la evidencia deberá archivarse en el expediente del cliente.</w:t>
      </w:r>
    </w:p>
    <w:p w14:paraId="6AECA911" w14:textId="71FC7AD4" w:rsidR="003E3C2C" w:rsidRPr="0057078F" w:rsidRDefault="003E3C2C"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Que la persona no sea capaz de comprobar fehacientemente el origen de los fondos o la titularidad de la cuenta bancaria desde la cual realizará los pagos. </w:t>
      </w:r>
    </w:p>
    <w:p w14:paraId="153E5243" w14:textId="77777777"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Se disponga alguna información confiable de la que se deduzca que pudieran estar relacionadas con actividades delictivas que generen lavado de dinero o vinculadas al terrorismo.</w:t>
      </w:r>
    </w:p>
    <w:p w14:paraId="12E68678" w14:textId="77777777"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Comercialicen productos y/o presten servicios prohibidos por la ley.</w:t>
      </w:r>
    </w:p>
    <w:p w14:paraId="30C170ED" w14:textId="77777777"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Se rehúsen a facilitar la información o la documentación que se requiera.</w:t>
      </w:r>
    </w:p>
    <w:p w14:paraId="08160AF1" w14:textId="77777777"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Tengan negocios en los que, por su naturaleza, sea imposible la verificación de la legitimidad de las actividades o la procedencia de los fondos.</w:t>
      </w:r>
    </w:p>
    <w:p w14:paraId="50AE8708" w14:textId="77777777"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Comercialicen productos y/o presten servicios ilegales.</w:t>
      </w:r>
    </w:p>
    <w:p>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Utilicen o pretendan utilizar cuentas anónimas, cifradas, con nombres ficticios, interpósitas personas o cualquier esquema que dificulte, distorsione o impida conocer la verdadera identidad del cliente o de su beneficiario final (artículo 27 del Decreto 15-2026).</w:t>
      </w:r>
    </w:p>
    <w:p w14:paraId="527F22AF"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262792D" w14:textId="099DE23E"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caso de que algún cliente se encuentre bajo alguna de las causales anteriores, Propi con la finalidad de prevenir ser utilizada directa o indirectamente para el Lavado de Dinero u Otros Activos y/o canalización de recursos para el Financiamiento del Terrorismo, deberá tomar las medidas respectivas para terminar la relación comercial y, a través del Oficial de Cumplimiento, se practicará el examen previsto en el artículo 22 del Decreto 15-2026 y, de proceder, se remitirá el Reporte de Transacción Sospechosa a la Superintendencia de Bancos a través de la Intendencia de Verificación Especial.</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Cuando la coincidencia sea con las listas emitidas por el Consejo de Seguridad de las Naciones Unidas, se aplicará además, de inmediato, el procedimiento de limitación preventiva y comunicación al Ministerio Público previsto en este Manual (artículo 43 del Decreto 15-2026).</w:t>
      </w:r>
    </w:p>
    <w:p w14:paraId="46CF98E0"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528A803" w14:textId="77777777" w:rsidR="001815AC" w:rsidRPr="0057078F" w:rsidRDefault="00000000" w:rsidP="0057078F">
      <w:pPr>
        <w:pStyle w:val="Heading3"/>
        <w:numPr>
          <w:ilvl w:val="2"/>
          <w:numId w:val="18"/>
        </w:numPr>
        <w:spacing w:line="276" w:lineRule="auto"/>
        <w:jc w:val="both"/>
        <w:rPr>
          <w:rFonts w:ascii="Calibri" w:eastAsia="Calibri" w:hAnsi="Calibri" w:cs="Calibri"/>
          <w:color w:val="1A1A1A"/>
          <w:sz w:val="24"/>
          <w:szCs w:val="24"/>
        </w:rPr>
      </w:pPr>
      <w:bookmarkStart w:id="1012" w:name="_Toc176997907"/>
      <w:r>
        <w:rPr>
          <w:rFonts w:ascii="Calibri" w:eastAsia="Calibri" w:hAnsi="Calibri" w:cs="Calibri"/>
          <w:color w:val="1A1A1A"/>
          <w:sz w:val="24"/>
          <w:szCs w:val="24"/>
        </w:rPr>
        <w:t>Procedencia de fondos</w:t>
      </w:r>
      <w:bookmarkEnd w:id="1012"/>
    </w:p>
    <w:p w14:paraId="23C23E61" w14:textId="59E9DB28"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Oficial de Cumplimiento o el personal de negocios, cuando identifiquen que una operación o transacción no está acorde al perfil transaccional de un cliente o contraparte, o en virtud de la aplicación de los mecanismos de Debida Diligencia Intensificada podrán solicitar a los clientes o contrapartes, el documento de procedencia u origen de fondos. Para ello Propi podrá solicitar cualquier información y documentación financiera o mercantil, contable, tributaria, representativa de la propiedad, posesión o tenencia de bienes muebles e inmuebles, constancia de sueldos, o ingresos que justifiquen la transacción.</w:t>
      </w:r>
    </w:p>
    <w:p w14:paraId="6DDFC70F"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CE470A7" w14:textId="77777777" w:rsidR="001815AC" w:rsidRPr="0057078F" w:rsidRDefault="00000000" w:rsidP="0057078F">
      <w:pPr>
        <w:pStyle w:val="Heading3"/>
        <w:numPr>
          <w:ilvl w:val="2"/>
          <w:numId w:val="18"/>
        </w:numPr>
        <w:spacing w:line="276" w:lineRule="auto"/>
        <w:ind w:left="2160" w:hanging="180"/>
        <w:jc w:val="both"/>
        <w:rPr>
          <w:rFonts w:ascii="Calibri" w:eastAsia="Calibri" w:hAnsi="Calibri" w:cs="Calibri"/>
          <w:color w:val="1A1A1A"/>
          <w:sz w:val="24"/>
          <w:szCs w:val="24"/>
        </w:rPr>
      </w:pPr>
      <w:bookmarkStart w:id="1022" w:name="_Toc176997908"/>
      <w:r>
        <w:rPr>
          <w:rFonts w:ascii="Calibri" w:eastAsia="Calibri" w:hAnsi="Calibri" w:cs="Calibri"/>
          <w:color w:val="1A1A1A"/>
          <w:sz w:val="24"/>
          <w:szCs w:val="24"/>
        </w:rPr>
        <w:t>Actualización de información de clientes</w:t>
      </w:r>
      <w:bookmarkEnd w:id="1022"/>
    </w:p>
    <w:p w14:paraId="22C28738"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 xml:space="preserve">Propi verificará y actualizará periódicamente los datos de los clientes que por su naturaleza puedan variar (dirección, teléfono, actividad económica, origen de los recursos, composición accionaria, beneficiarios finales, entre otros). Para los clientes clasificados en riesgo alto la actualización se realizará por lo menos una vez al año (artículo 22 del Decreto 15-2026); para los demás niveles, con la periodicidad que establezca la Política de Conocimiento del Cliente y, en todo caso, ante cualquier evento que modifique el perfil o el riesgo del cliente.</w:t>
      </w:r>
    </w:p>
    <w:p w14:paraId="3F3E4000"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BCA2CF0" w14:textId="0A2BEC48"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lastRenderedPageBreak/>
        <w:t xml:space="preserve">Se deberá establecer como obligación del cliente el deber de informar cualquier cambio de los datos anteriormente indicados. </w:t>
      </w:r>
    </w:p>
    <w:p w14:paraId="362AB281"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F0EC500" w14:textId="33F9929A"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Propi</w:t>
      </w:r>
      <w:r>
        <w:rPr>
          <w:rFonts w:ascii="Calibri" w:eastAsia="Calibri" w:hAnsi="Calibri" w:cs="Calibri"/>
          <w:color w:val="1A1A1A"/>
          <w:sz w:val="24"/>
          <w:szCs w:val="24"/>
        </w:rPr>
        <w:t xml:space="preserve"> podrá requerir la actualización de la información del cliente a través de cualquier medio, sea este por correspondencia a la última dirección física o correo electrónico declarado por el cliente, mediante el uso de tecnologías de la información que permitan validar el requerimiento de la información solicitada.</w:t>
      </w:r>
    </w:p>
    <w:p w14:paraId="14A84514"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66ECCF6"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Propi</w:t>
      </w:r>
      <w:r>
        <w:rPr>
          <w:rFonts w:ascii="Calibri" w:eastAsia="Calibri" w:hAnsi="Calibri" w:cs="Calibri"/>
          <w:color w:val="1A1A1A"/>
          <w:sz w:val="24"/>
          <w:szCs w:val="24"/>
        </w:rPr>
        <w:t xml:space="preserve"> podrá realizar la actualización de datos del cliente en cualquier momento, cuando en previo análisis se determine su exposición a un mayor grado al riesgo de LD/FT/FPADM.</w:t>
      </w:r>
    </w:p>
    <w:p w14:paraId="034E6DFE" w14:textId="77777777" w:rsidR="00700EB3" w:rsidRPr="0057078F" w:rsidRDefault="00700EB3"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3B9B1CA" w14:textId="70BFA5F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negativa del cliente de brindar la información solicitada por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deberá quedar documentada.</w:t>
      </w:r>
    </w:p>
    <w:p w14:paraId="75E6639A" w14:textId="77777777" w:rsidR="001815AC" w:rsidRPr="0057078F" w:rsidRDefault="00000000" w:rsidP="0057078F">
      <w:pPr>
        <w:pStyle w:val="Heading3"/>
        <w:numPr>
          <w:ilvl w:val="2"/>
          <w:numId w:val="18"/>
        </w:numPr>
        <w:spacing w:line="276" w:lineRule="auto"/>
        <w:ind w:left="2160" w:hanging="180"/>
        <w:jc w:val="both"/>
        <w:rPr>
          <w:rFonts w:ascii="Calibri" w:eastAsia="Calibri" w:hAnsi="Calibri" w:cs="Calibri"/>
          <w:color w:val="1A1A1A"/>
          <w:sz w:val="24"/>
          <w:szCs w:val="24"/>
        </w:rPr>
      </w:pPr>
      <w:bookmarkStart w:id="1027" w:name="_Toc176997909"/>
      <w:r>
        <w:rPr>
          <w:rFonts w:ascii="Calibri" w:eastAsia="Calibri" w:hAnsi="Calibri" w:cs="Calibri"/>
          <w:color w:val="1A1A1A"/>
          <w:sz w:val="24"/>
          <w:szCs w:val="24"/>
        </w:rPr>
        <w:t>Mantenimiento y finalización de relaciones contractuales</w:t>
      </w:r>
      <w:bookmarkEnd w:id="1027"/>
    </w:p>
    <w:p w14:paraId="22880741" w14:textId="77777777" w:rsidR="001815AC" w:rsidRPr="0057078F" w:rsidRDefault="001815AC" w:rsidP="0057078F">
      <w:pPr>
        <w:pBdr>
          <w:top w:val="nil"/>
          <w:left w:val="nil"/>
          <w:bottom w:val="nil"/>
          <w:right w:val="nil"/>
          <w:between w:val="nil"/>
        </w:pBdr>
        <w:spacing w:after="0" w:line="276" w:lineRule="auto"/>
        <w:ind w:left="720" w:firstLine="720"/>
        <w:jc w:val="both"/>
        <w:rPr>
          <w:rFonts w:ascii="Calibri" w:eastAsia="Calibri" w:hAnsi="Calibri" w:cs="Calibri"/>
          <w:color w:val="1A1A1A"/>
          <w:sz w:val="24"/>
          <w:szCs w:val="24"/>
        </w:rPr>
      </w:pPr>
    </w:p>
    <w:p w14:paraId="578B0946" w14:textId="00354D7B" w:rsidR="001815AC" w:rsidRPr="0057078F" w:rsidRDefault="00000000" w:rsidP="0057078F">
      <w:pP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Cuando Propi, luego de realizar un análisis con los elementos objetivos de riesgo del cliente, determine la existencia de elementos suficientes para considerar que existe un Riesgo LD/FT/FPADM que no puede ser mitigado, o cuando le resulte imposible aplicar las medidas de debida diligencia, pondrá fin a la relación contractual o de negocios. Deberá documentar la evidencia de este análisis y practicar el examen que permita determinar la procedencia de un Reporte de Transacción Sospechosa, conforme a los artículos 22 y 30 del Decreto 15-2026, por los medios establecidos por la IVE.</w:t>
      </w:r>
    </w:p>
    <w:p w14:paraId="4EF32AB3" w14:textId="4752CA4F" w:rsidR="00700EB3" w:rsidRPr="0057078F" w:rsidRDefault="00700EB3" w:rsidP="0057078F">
      <w:pP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ningún momento se notificará ni alertará al cliente de que se está examinando alguna transacción, de que se ha remitido un Reporte de Transacción Sospechosa o de que existe una investigación por parte de autoridad competente (artículo 38 del Decreto 15-2026). Toda comunicación de rechazo o terminación se fundará en causas comerciales o contractuales, conforme al texto modelo aprobado por el Oficial de Cumplimiento.</w:t>
      </w:r>
    </w:p>
    <w:p w14:paraId="7577DC10" w14:textId="61D533FD" w:rsidR="001151C3" w:rsidRPr="0057078F" w:rsidRDefault="00000000">
      <w:pPr>
        <w:pBdr>
          <w:top w:val="nil"/>
          <w:left w:val="nil"/>
          <w:bottom w:val="nil"/>
          <w:right w:val="nil"/>
          <w:between w:val="nil"/>
        </w:pBdr>
        <w:spacing w:after="0" w:line="276" w:lineRule="auto"/>
        <w:jc w:val="both"/>
        <w:rPr>
          <w:rFonts w:ascii="Calibri" w:eastAsia="Calibri" w:hAnsi="Calibri" w:cs="Calibri"/>
          <w:b/>
          <w:bCs/>
          <w:color w:val="1A1A1A"/>
          <w:sz w:val="24"/>
          <w:szCs w:val="24"/>
          <w:lang w:val="es-ES"/>
        </w:rPr>
      </w:pPr>
      <w:r>
        <w:rPr>
          <w:rFonts w:ascii="Calibri" w:eastAsia="Calibri" w:hAnsi="Calibri" w:cs="Calibri"/>
          <w:color w:val="1A1A1A"/>
          <w:sz w:val="24"/>
          <w:szCs w:val="24"/>
        </w:rPr>
        <w:t xml:space="preserve">Previo a dar por terminada una relación contractual conforme a los párrafos anteriores, el Oficial de Cumplimiento aplicará el procedimiento de examen y reporte previsto en la sección X de este Manual y en el Procedimiento de Reportes vigente.</w:t>
      </w:r>
    </w:p>
    <w:p w14:paraId="404243BD"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Las personas individuales o jurídicas con las cuales Propi termine la relación comercial por los motivos señalados en este capítulo se incluirán en la Lista de Control interna de personas no aceptadas, que administra el Oficial de Cumplimiento.</w:t>
      </w:r>
    </w:p>
    <w:p w14:paraId="492D6F6B" w14:textId="77777777" w:rsidR="001815AC" w:rsidRPr="0057078F" w:rsidRDefault="00000000" w:rsidP="0057078F">
      <w:pPr>
        <w:pStyle w:val="Heading1"/>
        <w:spacing w:line="276" w:lineRule="auto"/>
        <w:rPr>
          <w:rFonts w:cs="Calibri"/>
        </w:rPr>
      </w:pPr>
      <w:bookmarkStart w:id="1071" w:name="_Toc176997910"/>
      <w:r>
        <w:rPr>
          <w:rFonts w:cs="Calibri"/>
        </w:rPr>
        <w:t xml:space="preserve">POLÍTICAS DE CONOCIMIENTO DE EMPLEADOS</w:t>
      </w:r>
      <w:bookmarkEnd w:id="1071"/>
    </w:p>
    <w:p w14:paraId="6F1839D4"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072" w:name="_heading=h.49x2ik5" w:colFirst="0" w:colLast="0"/>
      <w:bookmarkEnd w:id="1072"/>
    </w:p>
    <w:p w14:paraId="0F6F71AE"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lastRenderedPageBreak/>
        <w:t xml:space="preserve">Con el objeto de velar por la conservación de la calidad moral del personal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se cuenta con mecanismos de selección de personal que contribuyen a conocer de manera integral los aspectos que hacen parte de los empleados (personales, profesionales, familiares, entre otros), para lo cual se solicitará información y documentación que se considere relevante y se completará el </w:t>
      </w:r>
      <w:r>
        <w:rPr>
          <w:rFonts w:ascii="Calibri" w:eastAsia="Calibri" w:hAnsi="Calibri" w:cs="Calibri"/>
          <w:b/>
          <w:color w:val="1A1A1A"/>
          <w:sz w:val="24"/>
          <w:szCs w:val="24"/>
        </w:rPr>
        <w:t>Formulario de Vinculación de Empleados</w:t>
      </w:r>
      <w:r>
        <w:rPr>
          <w:rFonts w:ascii="Calibri" w:eastAsia="Calibri" w:hAnsi="Calibri" w:cs="Calibri"/>
          <w:color w:val="1A1A1A"/>
          <w:sz w:val="24"/>
          <w:szCs w:val="24"/>
        </w:rPr>
        <w:t xml:space="preserve">, el cual será archivado en el expediente que se llevará por cada empleado. </w:t>
      </w:r>
    </w:p>
    <w:p w14:paraId="4168D6D5"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La información mínima para presentar por parte de los empleados y que deberá quedar archivada en el respectivo expediente una vez formalizada su contratación es la siguiente:</w:t>
      </w:r>
    </w:p>
    <w:p w14:paraId="6E06932D"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Copia de Documento de Identidad</w:t>
      </w:r>
    </w:p>
    <w:p w14:paraId="0D491179"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Copia de NIT o identificación tributaria.</w:t>
      </w:r>
    </w:p>
    <w:p w14:paraId="473006A1" w14:textId="77777777"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Copia de documentos previsionales o de seguridad social.</w:t>
      </w:r>
    </w:p>
    <w:p w14:paraId="187B26C2" w14:textId="0CA9022D"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Original de Carencia de Antecedentes Policiales.</w:t>
      </w:r>
    </w:p>
    <w:p w14:paraId="478A92E7" w14:textId="5F6D244A"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Original de Carencia de Antecedentes Penales.</w:t>
      </w:r>
    </w:p>
    <w:p w14:paraId="2A328B20" w14:textId="77777777"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Curriculum Vitae.</w:t>
      </w:r>
    </w:p>
    <w:p>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Referencias laborales y personales por escrito.</w:t>
      </w:r>
    </w:p>
    <w:p w14:paraId="701010FB" w14:textId="746237E2"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Títulos académicos obtenidos.</w:t>
      </w:r>
    </w:p>
    <w:p w14:paraId="33685C87" w14:textId="77777777"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Información de contactos.</w:t>
      </w:r>
    </w:p>
    <w:p>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Declaración patrimonial, cuando el puesto lo amerite conforme a la política de recursos humanos.</w:t>
      </w:r>
    </w:p>
    <w:p w14:paraId="45B27DBC" w14:textId="710CBA4B"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Otros documentos para la contratación que el departamento de Recursos Humanos considere pertinentes.</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Propi verificará contra documentos originales la identificación y los estudios del candidato y confirmará las referencias laborales y personales presentadas, dejando constancia en el expediente de las fuentes consultadas, los resultados obtenidos y la conclusión. El procedimiento de reclutamiento, selección y contratación se desarrolla en la política de recursos humanos y en el Reglamento Interno de Trabajo.</w:t>
      </w:r>
    </w:p>
    <w:p w14:paraId="6B8E7534"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p>
    <w:p w14:paraId="533338E9"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Adicionalmente, previo a cualquier contratación o en cualquier momento de la relación laboral, el colaborador o área responsable deberá verificar al candidato o empleado en las listas de sanciones y de cautela nacionales e internacionales, incluidas las listas emitidas por el Consejo de Seguridad de las Naciones Unidas, la OFAC, Interpol y las listas de países o jurisdicciones de alto riesgo del GAFI (artículo 12, literal a, del Decreto 15-2026). La evidencia de esta verificación deberá archivarse en el expediente del empleado. La información del expediente del empleado deberá ser actualizada al menos una vez cada dos años. </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ningún caso Propi contratará o nombrará como personal, director, agente, corredor, intermediario o colaborador, cualquiera que sea la forma jurídica de su contratación, a personas que figuren en las listas emitidas por el Consejo de Seguridad de las Naciones Unidas, ni a quienes hayan sido condenados por los delitos de lavado de dinero u otros activos o financiamiento del terrorismo, mientras no hayan transcurrido cinco (5) años de cumplida la pena (artículo 12, literal a).</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Los estándares de esta sección se aplican también a los directores, agentes, corredores externos e intermediarios que actúen por cuenta de Propi. Las obligaciones laborales del personal en materia de prevención del LD/FT/FPADM y el régimen disciplinario se desarrollan en el Reglamento Interno de Trabajo y en el Código de Ética.</w:t>
      </w:r>
    </w:p>
    <w:p w14:paraId="6F1B2792"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FC9FF93" w14:textId="5DAC743B"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Propi</w:t>
      </w:r>
      <w:r>
        <w:rPr>
          <w:rFonts w:ascii="Calibri" w:eastAsia="Calibri" w:hAnsi="Calibri" w:cs="Calibri"/>
          <w:color w:val="1A1A1A"/>
          <w:sz w:val="24"/>
          <w:szCs w:val="24"/>
        </w:rPr>
        <w:t xml:space="preserve"> entregará a todos los funcionarios, empleados, personal temporal o subcontratado el Código de Ética y el presente Manual; los cuales deberán leer y firmar constancia de su conocimiento. Todo empleado o colaborador deberá apoyar la labor del Oficial de Cumplimiento facilitando acceso a la documentación o información necesaria para que éste realice su función.</w:t>
      </w:r>
    </w:p>
    <w:p w14:paraId="035EAE0E"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lastRenderedPageBreak/>
        <w:t xml:space="preserve">Propi </w:t>
      </w:r>
      <w:r>
        <w:rPr>
          <w:rFonts w:ascii="Calibri" w:eastAsia="Calibri" w:hAnsi="Calibri" w:cs="Calibri"/>
          <w:color w:val="1A1A1A"/>
          <w:sz w:val="24"/>
          <w:szCs w:val="24"/>
        </w:rPr>
        <w:t xml:space="preserve">establece que los funcionarios, empleados, permanentes o temporales deben anteponer el cumplimiento de las normas en materia de prevención de LD/FT/FPADM, al logro de las metas comerciales.    </w:t>
      </w:r>
    </w:p>
    <w:p w14:paraId="6248081B" w14:textId="77777777" w:rsidR="001815AC" w:rsidRPr="0057078F" w:rsidRDefault="00000000" w:rsidP="0057078F">
      <w:pPr>
        <w:pStyle w:val="Heading1"/>
        <w:spacing w:line="276" w:lineRule="auto"/>
        <w:rPr>
          <w:rFonts w:cs="Calibri"/>
        </w:rPr>
      </w:pPr>
      <w:bookmarkStart w:id="1093" w:name="_Toc176997911"/>
      <w:r>
        <w:rPr>
          <w:rFonts w:cs="Calibri"/>
        </w:rPr>
        <w:t xml:space="preserve">POLÍTICAS DE CONOCIMIENTO DE PROVEEDORES</w:t>
      </w:r>
      <w:bookmarkEnd w:id="1093"/>
    </w:p>
    <w:p w14:paraId="006BD66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40D7BD8" w14:textId="77777777" w:rsidR="001815AC" w:rsidRPr="0057078F" w:rsidRDefault="00000000" w:rsidP="0057078F">
      <w:pPr>
        <w:pBdr>
          <w:top w:val="nil"/>
          <w:left w:val="nil"/>
          <w:bottom w:val="nil"/>
          <w:right w:val="nil"/>
          <w:between w:val="nil"/>
        </w:pBdr>
        <w:spacing w:after="162"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Política de Conocimiento de Proveedores tiene por finalidad estandarizar los métodos internos de control y evaluación de los proveedores de Propi, a fin de mitigar su exposición al Riesgo LD/FT/FPADM.</w:t>
      </w:r>
    </w:p>
    <w:p w14:paraId="3B49CF11" w14:textId="77777777" w:rsidR="001151C3" w:rsidRPr="0057078F" w:rsidRDefault="001151C3"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 conformidad con el enfoque basado en riesgo, la segmentación de la debida diligencia de proveedores, la documentación mínima por tipo de proveedor, los umbrales aplicables a compras únicas y el formulario correspondiente se establecen en la Política de Conocimiento de Proveedores vigente.</w:t>
      </w:r>
    </w:p>
    <w:p w14:paraId="25C6BE8E"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7A42CDB" w14:textId="053145D1" w:rsidR="001815AC" w:rsidRPr="0057078F" w:rsidRDefault="00000000" w:rsidP="0057078F">
      <w:pPr>
        <w:pBdr>
          <w:top w:val="nil"/>
          <w:left w:val="nil"/>
          <w:bottom w:val="nil"/>
          <w:right w:val="nil"/>
          <w:between w:val="nil"/>
        </w:pBdr>
        <w:spacing w:line="276" w:lineRule="auto"/>
        <w:rPr>
          <w:rFonts w:ascii="Calibri" w:hAnsi="Calibri" w:cs="Calibri"/>
          <w:b/>
          <w:smallCaps/>
          <w:color w:val="1A1A1A"/>
          <w:sz w:val="24"/>
          <w:szCs w:val="24"/>
        </w:rPr>
      </w:pPr>
      <w:bookmarkStart w:id="1103" w:name="_heading=h.147n2zr" w:colFirst="0" w:colLast="0"/>
      <w:bookmarkEnd w:id="1103"/>
    </w:p>
    <w:tbl>
      <w:tblPr>
        <w:tblStyle w:val="a3"/>
        <w:tblW w:w="9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1276"/>
        <w:gridCol w:w="1276"/>
        <w:gridCol w:w="1134"/>
        <w:gridCol w:w="1412"/>
      </w:tblGrid>
    </w:tbl>
    <w:p w14:paraId="63789726" w14:textId="77777777" w:rsidR="001151C3" w:rsidRPr="0057078F" w:rsidRDefault="001151C3" w:rsidP="0057078F">
      <w:pPr>
        <w:spacing w:after="0" w:line="276" w:lineRule="auto"/>
        <w:jc w:val="both"/>
        <w:rPr>
          <w:rFonts w:ascii="Calibri" w:eastAsia="Calibri" w:hAnsi="Calibri" w:cs="Calibri"/>
          <w:color w:val="1A1A1A"/>
          <w:sz w:val="24"/>
          <w:szCs w:val="24"/>
        </w:rPr>
      </w:pPr>
    </w:p>
    <w:p w14:paraId="2298994A" w14:textId="08723FD7" w:rsidR="001815AC" w:rsidRPr="0057078F" w:rsidRDefault="001151C3">
      <w:pPr>
        <w:spacing w:after="0" w:line="276" w:lineRule="auto"/>
        <w:jc w:val="both"/>
        <w:rPr>
          <w:rFonts w:ascii="Calibri" w:eastAsia="Calibri" w:hAnsi="Calibri" w:cs="Calibri"/>
          <w:color w:val="000000"/>
          <w:sz w:val="24"/>
          <w:szCs w:val="24"/>
        </w:rPr>
      </w:pPr>
      <w:r>
        <w:rPr>
          <w:rFonts w:ascii="Calibri" w:eastAsia="Calibri" w:hAnsi="Calibri" w:cs="Calibri"/>
          <w:color w:val="1A1A1A"/>
          <w:sz w:val="24"/>
          <w:szCs w:val="24"/>
        </w:rPr>
        <w:t xml:space="preserve">Adicionalmente, en el proceso de vinculación del proveedor y previo a establecer la relación comercial, se completará el Formulario Conoce a tu Proveedor por medio de la herramienta tecnológica que designe el Oficial de Cumplimiento, y se verificará que el proveedor, sus accionistas o socios con participación igual o mayor al quince por ciento (15 %), su representante legal, apoderados, miembros del órgano de administración y beneficiarios finales no figuren en listas de sanciones y de cautela nacionales e internacionales; toda coincidencia generará una alerta que analizará el Oficial de Cumplimiento.</w:t>
      </w:r>
    </w:p>
    <w:p w14:paraId="44859C72" w14:textId="77777777" w:rsidR="001151C3" w:rsidRPr="0057078F" w:rsidRDefault="001151C3"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p>
    <w:p w14:paraId="359AECD5"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 xml:space="preserve">Para los proveedores con los que se realice una compra única, la exigencia del Formulario Conoce a tu Proveedor y de la documentación aplicable se rige por los umbrales que establezca la Política de Conocimiento de Proveedores vigente.</w:t>
      </w:r>
    </w:p>
    <w:p w14:paraId="65B4E9D9"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4777E7B" w14:textId="75950233"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el caso que algún potencial proveedor se encontrare bajo alguna de las causales de alerta, </w:t>
      </w:r>
      <w:r>
        <w:rPr>
          <w:rFonts w:ascii="Calibri" w:eastAsia="Calibri" w:hAnsi="Calibri" w:cs="Calibri"/>
          <w:b/>
          <w:bCs/>
          <w:color w:val="1A1A1A"/>
          <w:sz w:val="24"/>
          <w:szCs w:val="24"/>
        </w:rPr>
        <w:t>Propi</w:t>
      </w:r>
      <w:r>
        <w:rPr>
          <w:rFonts w:ascii="Calibri" w:eastAsia="Calibri" w:hAnsi="Calibri" w:cs="Calibri"/>
          <w:color w:val="1A1A1A"/>
          <w:sz w:val="24"/>
          <w:szCs w:val="24"/>
        </w:rPr>
        <w:t xml:space="preserve">, con la finalidad de prevenir ser utilizada directa o indirectamente para el Lavado de Dinero y/o canalización de recursos para el Financiamiento del Terrorismo, no establecerá relación comercial con dicho proveedor y para los casos que ya se haya contratado deberá tomar las medidas respectivas para terminar la relación comercial.</w:t>
      </w:r>
    </w:p>
    <w:p w14:paraId="273C1A70"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el caso de proveedores internacionales que sean una persona jurídica que cotiza en bolsa de valores y ésta sea sujeta a requisitos de revelación de información en el mercado de valores, no será necesario identificar a los beneficiarios finales de dichas sociedades, bastará con recabar la información que esté a disposición pública para formar el expediente. Esta información deberá actualizarse de forma anual.</w:t>
      </w:r>
    </w:p>
    <w:p w14:paraId="47CF07CA" w14:textId="77777777" w:rsidR="001815AC" w:rsidRPr="0057078F" w:rsidRDefault="00000000" w:rsidP="0057078F">
      <w:pPr>
        <w:tabs>
          <w:tab w:val="left" w:pos="2770"/>
        </w:tabs>
        <w:spacing w:before="117" w:line="276" w:lineRule="auto"/>
        <w:ind w:right="-286"/>
        <w:jc w:val="both"/>
        <w:rPr>
          <w:rFonts w:ascii="Calibri" w:eastAsia="Calibri" w:hAnsi="Calibri" w:cs="Calibri"/>
          <w:color w:val="1A1A1A"/>
          <w:sz w:val="24"/>
          <w:szCs w:val="24"/>
        </w:rPr>
      </w:pPr>
      <w:r>
        <w:rPr>
          <w:rFonts w:ascii="Calibri" w:eastAsia="Calibri" w:hAnsi="Calibri" w:cs="Calibri"/>
          <w:b/>
          <w:color w:val="1A1A1A"/>
          <w:sz w:val="24"/>
          <w:szCs w:val="24"/>
        </w:rPr>
        <w:t xml:space="preserve">Propi conformará un expediente para cada proveedor el cual deberá contener la documentación presentada por el proveedor, el formulario debidamente firmado y la debida diligencia que se ha realizado para establecer la relación de negocio con Propi.</w:t>
      </w:r>
    </w:p>
    <w:p>
      <w:pPr>
        <w:tabs>
          <w:tab w:val="left" w:pos="2770"/>
        </w:tabs>
        <w:spacing w:before="117" w:line="276" w:lineRule="auto"/>
        <w:ind w:right="-286"/>
        <w:jc w:val="both"/>
        <w:rPr>
          <w:rFonts w:ascii="Calibri" w:eastAsia="Calibri" w:hAnsi="Calibri" w:cs="Calibri"/>
          <w:color w:val="1A1A1A"/>
          <w:sz w:val="24"/>
          <w:szCs w:val="24"/>
        </w:rPr>
      </w:pPr>
      <w:r>
        <w:rPr>
          <w:rFonts w:ascii="Calibri" w:eastAsia="Calibri" w:hAnsi="Calibri" w:cs="Calibri"/>
          <w:b/>
          <w:color w:val="1A1A1A"/>
          <w:sz w:val="24"/>
          <w:szCs w:val="24"/>
        </w:rPr>
        <w:t xml:space="preserve">Los contratos con proveedores de servicios que participen en la operación de Propi incluirán su obligación de colaborar con la Superintendencia de Bancos, a través de la IVE, cuando esta lo requiera, en los términos del artículo 35 del Decreto 15-2026.</w:t>
      </w:r>
    </w:p>
    <w:p w14:paraId="6C6AA6B3" w14:textId="77777777" w:rsidR="001815AC" w:rsidRPr="0057078F" w:rsidRDefault="00000000" w:rsidP="0057078F">
      <w:pPr>
        <w:pStyle w:val="Heading1"/>
        <w:spacing w:line="276" w:lineRule="auto"/>
        <w:rPr>
          <w:rFonts w:cs="Calibri"/>
        </w:rPr>
      </w:pPr>
      <w:bookmarkStart w:id="1191" w:name="_Toc176997912"/>
      <w:bookmarkEnd w:id="1191"/>
      <w:r>
        <w:rPr>
          <w:rFonts w:cs="Calibri"/>
        </w:rPr>
        <w:t xml:space="preserve">POLÍTICAS PARA EL MONITOREO, DETECCIÓN Y REPORTE DE TRANSACCIONES INUSUALES, SOSPECHOSAS Y EN EFECTIVO</w:t>
      </w:r>
    </w:p>
    <w:p w14:paraId="528A0475" w14:textId="77777777" w:rsidR="001815AC" w:rsidRPr="0057078F" w:rsidRDefault="001815AC" w:rsidP="0057078F">
      <w:pPr>
        <w:spacing w:line="276" w:lineRule="auto"/>
        <w:rPr>
          <w:rFonts w:ascii="Calibri" w:hAnsi="Calibri" w:cs="Calibri"/>
          <w:sz w:val="24"/>
          <w:szCs w:val="24"/>
        </w:rPr>
      </w:pPr>
    </w:p>
    <w:p w14:paraId="13D9D7D8" w14:textId="77777777" w:rsidR="001815AC" w:rsidRPr="0057078F" w:rsidRDefault="00000000" w:rsidP="0057078F">
      <w:pPr>
        <w:pStyle w:val="Heading2"/>
        <w:numPr>
          <w:ilvl w:val="0"/>
          <w:numId w:val="3"/>
        </w:numPr>
        <w:spacing w:line="276" w:lineRule="auto"/>
        <w:rPr>
          <w:rFonts w:cs="Calibri"/>
        </w:rPr>
      </w:pPr>
      <w:bookmarkStart w:id="1192" w:name="_Toc176997913"/>
      <w:r>
        <w:rPr>
          <w:rFonts w:cs="Calibri"/>
        </w:rPr>
        <w:t>MONITOREO</w:t>
      </w:r>
      <w:bookmarkEnd w:id="1192"/>
      <w:r>
        <w:rPr>
          <w:rFonts w:cs="Calibri"/>
        </w:rPr>
        <w:t xml:space="preserve"> </w:t>
      </w:r>
    </w:p>
    <w:p w14:paraId="273A3D0E"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04515C9" w14:textId="21CFBD46"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193" w:name="bookmark=id.ihv636" w:colFirst="0" w:colLast="0"/>
      <w:bookmarkEnd w:id="1193"/>
      <w:r>
        <w:rPr>
          <w:rFonts w:ascii="Calibri" w:eastAsia="Calibri" w:hAnsi="Calibri" w:cs="Calibri"/>
          <w:color w:val="1A1A1A"/>
          <w:sz w:val="24"/>
          <w:szCs w:val="24"/>
        </w:rPr>
        <w:t xml:space="preserve">Propi establecerá e implementará políticas, procedimientos, controles y sistemas de monitoreo de todas las transacciones y operaciones que realiza, adecuados al volumen y complejidad de sus actividades, que generen alertas en función del Riesgo LD/FT/FPADM y permitan identificar transacciones inusuales con prontitud (artículo 28 del Decreto 15-2026). El Oficial de Cumplimiento efectuará un monitoreo permanente de las transacciones llevadas a cabo con los clientes.</w:t>
      </w:r>
    </w:p>
    <w:p w14:paraId="75616F5F" w14:textId="52AAFC1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determinar las transacciones inusuales que deben ser analizadas por el Oficial de Cumplimiento, este deberá considerar aquellas transacciones de ingreso o egreso que, por sus montos, medios de pago, frecuencia o tipo de cliente, no se ajusten al perfil de riesgo del cliente sin una justificación económica o legal razonable, o que activen alguna de las señales de alerta definidas.</w:t>
      </w:r>
    </w:p>
    <w:p w14:paraId="35FA87E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673D4CE9" w14:textId="2C8F22B1"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la determinación de las señales de alerta que se deberán monitorear permanentemente, Propi, por medio del Oficial de Cumplimiento, definirá y mantendrá actualizadas las señales de alerta conforme a su evaluación del Riesgo LD/FT/FPADM y a las tipologías, tendencias y patrones de LD/FT que comunique la IVE (artículos 28 y 52, literal g, del Decreto 15-2026). Es obligación del Oficial de Cumplimiento revisar y actualizar permanentemente estas señales para asegurar que se encuentren apegadas a la realidad del negocio y sus operaciones.</w:t>
      </w:r>
    </w:p>
    <w:p w14:paraId="35BC813A" w14:textId="77777777" w:rsidR="001815AC" w:rsidRPr="0057078F" w:rsidRDefault="001815AC" w:rsidP="0057078F">
      <w:pPr>
        <w:spacing w:line="276" w:lineRule="auto"/>
        <w:jc w:val="both"/>
        <w:rPr>
          <w:rFonts w:ascii="Calibri" w:eastAsia="Calibri" w:hAnsi="Calibri" w:cs="Calibri"/>
          <w:color w:val="1A1A1A"/>
          <w:sz w:val="24"/>
          <w:szCs w:val="24"/>
        </w:rPr>
      </w:pPr>
    </w:p>
    <w:p w14:paraId="1BB66E35" w14:textId="77777777" w:rsidR="001815AC" w:rsidRPr="0057078F" w:rsidRDefault="00000000" w:rsidP="0057078F">
      <w:pPr>
        <w:tabs>
          <w:tab w:val="left" w:pos="3119"/>
        </w:tabs>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Todos los escenarios que se utilicen para el monitoreo deberán documentarse utilizando el soporte físico o digital.</w:t>
      </w:r>
    </w:p>
    <w:p w14:paraId="40AE9C74" w14:textId="77777777" w:rsidR="001815AC" w:rsidRPr="0057078F" w:rsidRDefault="00000000" w:rsidP="0057078F">
      <w:pPr>
        <w:pStyle w:val="Heading2"/>
        <w:numPr>
          <w:ilvl w:val="0"/>
          <w:numId w:val="3"/>
        </w:numPr>
        <w:spacing w:line="276" w:lineRule="auto"/>
        <w:rPr>
          <w:rFonts w:cs="Calibri"/>
        </w:rPr>
      </w:pPr>
      <w:bookmarkStart w:id="1210" w:name="_Toc176997914"/>
      <w:bookmarkEnd w:id="1210"/>
      <w:r>
        <w:rPr>
          <w:rFonts w:cs="Calibri"/>
        </w:rPr>
        <w:t xml:space="preserve">REPORTE INTERNO DE TRANSACCIONES INUSUALES O SOSPECHOSAS</w:t>
      </w:r>
    </w:p>
    <w:p w14:paraId="05B4E6A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8009C30" w14:textId="7FCB55A0"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Cualquier empleado, director, agente, corredor o colaborador de Propi que conozca información sobre una transacción inusual o sobre la actividad sospechosa de algún cliente o proveedor está en la obligación de notificarlo de inmediato al Oficial de Cumplimiento, utilizando el Formulario de Reporte Interno de Transacciones Inusuales o Sospechosas, conforme al Procedimiento de Reporte Interno vigente. Todo reporte recibido por el Oficial de Cumplimiento ingresará al examen previsto en el siguiente literal.</w:t>
      </w:r>
    </w:p>
    <w:p w14:paraId="1A748DE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47537DB" w14:textId="77777777" w:rsidR="001815AC" w:rsidRPr="0057078F" w:rsidRDefault="00000000" w:rsidP="0057078F">
      <w:pPr>
        <w:pStyle w:val="Heading2"/>
        <w:numPr>
          <w:ilvl w:val="0"/>
          <w:numId w:val="3"/>
        </w:numPr>
        <w:spacing w:line="276" w:lineRule="auto"/>
        <w:rPr>
          <w:rFonts w:cs="Calibri"/>
        </w:rPr>
      </w:pPr>
      <w:bookmarkStart w:id="1219" w:name="_Toc176997915"/>
      <w:bookmarkEnd w:id="1219"/>
      <w:r>
        <w:rPr>
          <w:rFonts w:cs="Calibri"/>
        </w:rPr>
        <w:t xml:space="preserve">ANÁLISIS DE TRANSACCIONES INUSUALES</w:t>
      </w:r>
    </w:p>
    <w:p w14:paraId="1FEC8AF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09C580F" w14:textId="19A81B0F"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220" w:name="_heading=h.41mghml" w:colFirst="0" w:colLast="0"/>
      <w:bookmarkEnd w:id="1220"/>
      <w:r>
        <w:rPr>
          <w:rFonts w:ascii="Calibri" w:eastAsia="Calibri" w:hAnsi="Calibri" w:cs="Calibri"/>
          <w:color w:val="1A1A1A"/>
          <w:sz w:val="24"/>
          <w:szCs w:val="24"/>
        </w:rPr>
        <w:t xml:space="preserve">Las transacciones identificadas como inusuales, concluidas o no, ingresarán a un proceso de examen a fin de determinar si tienen o no un fundamento económico o legal aparente y, en su caso, si procede remitir el Reporte de Transacción Sospechosa (RTS) a la Superintendencia de Bancos a través de la IVE, por los mecanismos que esta ponga a disposición (artículos 29 y 30 del Decreto 15-2026).</w:t>
      </w:r>
    </w:p>
    <w:p w14:paraId="7A0E5639"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8EB1CFB" w14:textId="24E18093"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realizar el análisis, el Oficial de Cumplimiento se apoyará en las herramientas tecnológicas que tenga a su disposición en las cuales deberá registrar todos los análisis y gestiones que se hayan realizado para cada caso, así como la documentación adjunta de soporte. La herramienta que se utilice deberá garantizar la seguridad y confidencialidad de toda la información que se maneje para el monitoreo y las decisiones que se deriven.</w:t>
      </w:r>
    </w:p>
    <w:p w14:paraId="0EC38162"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1F36B6E" w14:textId="6C2D82AB" w:rsidR="0057078F"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El Oficial de Cumplimiento examinará las transacciones inusuales con prontitud, dentro de los plazos internos que establezca el Procedimiento de Reportes vigente. Concluido el examen, el Oficial de Cumplimiento, o su suplente, registrará en el expediente correspondiente un resumen de sus observaciones, así como las del funcionario o empleado que detectó la operación.</w:t>
      </w:r>
    </w:p>
    <w:p w14:paraId="7D4748EA" w14:textId="626D3998"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32C541AE"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4756FAD" w14:textId="326A7490"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Como consecuencia del examen efectuado, y con base en el Decreto 15-2026, su reglamentación y las disposiciones de la IVE, el Oficial de Cumplimiento calificará la transacción de la siguiente manera:</w:t>
      </w:r>
    </w:p>
    <w:p w14:paraId="384A13E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CEAF092" w14:textId="74CA7C71" w:rsidR="001815AC" w:rsidRPr="0057078F" w:rsidRDefault="00000000" w:rsidP="0057078F">
      <w:pPr>
        <w:numPr>
          <w:ilvl w:val="0"/>
          <w:numId w:val="2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Si la transacción inusual carece de fundamento económico o legal evidente o si, a pesar de tener apariencia de legalidad, existen motivos razonables para sospechar que los fondos proceden o se destinan a una actividad delictiva o al financiamiento del terrorismo, se calificará como transacción sospechosa y se elaborará el Reporte de Transacción Sospechosa (RTS), que se remitirá con prontitud a la IVE utilizando los medios y formas que esta establezca y dentro de los plazos del Procedimiento de Reportes vigente.</w:t>
      </w:r>
    </w:p>
    <w:p w14:paraId="2C1BCE7B" w14:textId="413C926A" w:rsidR="001815AC" w:rsidRPr="0057078F" w:rsidRDefault="00000000" w:rsidP="0057078F">
      <w:pPr>
        <w:numPr>
          <w:ilvl w:val="0"/>
          <w:numId w:val="2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Si la transacción tiene fundamento económico o legal aparente, se considerará una transacción normal y el caso se dará por cerrado, dejando constancia del examen.</w:t>
      </w:r>
    </w:p>
    <w:p w14:paraId="41CD1C6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75DA69F" w14:textId="176E94AB" w:rsidR="0057078F" w:rsidRPr="0057078F" w:rsidRDefault="0057078F" w:rsidP="00C36077">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ambos casos, se deberá dejar constancia de todos los análisis e información de soporte que justifica la acción a tomar en cada caso. Asimismo, se deberá agregar al expediente correspondiente una copia del formulario de notificación enviado a la Superintendencia de Bancos a través de la IVE.</w:t>
      </w:r>
    </w:p>
    <w:p w14:paraId="5AEBD8A3"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610A76EA"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3B0DD25" w14:textId="77777777" w:rsidR="001815AC" w:rsidRPr="0057078F" w:rsidRDefault="00000000" w:rsidP="0057078F">
      <w:pPr>
        <w:pStyle w:val="Heading2"/>
        <w:numPr>
          <w:ilvl w:val="0"/>
          <w:numId w:val="3"/>
        </w:numPr>
        <w:spacing w:line="276" w:lineRule="auto"/>
        <w:rPr>
          <w:rFonts w:cs="Calibri"/>
        </w:rPr>
      </w:pPr>
      <w:bookmarkStart w:id="1275" w:name="_Toc176997916"/>
      <w:bookmarkEnd w:id="1275"/>
      <w:r>
        <w:rPr>
          <w:rFonts w:cs="Calibri"/>
        </w:rPr>
        <w:t xml:space="preserve">REPORTE DE TRANSACCIÓN SOSPECHOSA (RTS) Y REPORTE DE TENTATIVA DE TRANSACCIÓN SOSPECHOSA</w:t>
      </w:r>
    </w:p>
    <w:p w14:paraId="7320BE9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A3D75A2" w14:textId="1A34522C"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276" w:name="_heading=h.vx1227" w:colFirst="0" w:colLast="0"/>
      <w:bookmarkEnd w:id="1276"/>
      <w:r>
        <w:rPr>
          <w:rFonts w:ascii="Calibri" w:eastAsia="Calibri" w:hAnsi="Calibri" w:cs="Calibri"/>
          <w:color w:val="1A1A1A"/>
          <w:sz w:val="24"/>
          <w:szCs w:val="24"/>
        </w:rPr>
        <w:t xml:space="preserve">El Reporte de Transacción Sospechosa se remite a nombre de Propi, de forma exclusiva y confidencial, y goza de garantía de confidencialidad (artículo 30 del Decreto 15-2026). El Oficial de Cumplimiento es el único autorizado para enviar los RTS a la IVE, utilizando exclusivamente los medios, procedimientos, condiciones y plazos establecidos por esta (artículo 33). Propi es responsable de que la información proporcionada sea completa y coincida con sus registros.</w:t>
      </w:r>
    </w:p>
    <w:p w14:paraId="32D6B792"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24D2F35"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Dentro de la documentación a remitir junto con el Reporte de Transacción Sospechosa se incluye:</w:t>
      </w:r>
    </w:p>
    <w:p w14:paraId="1618F5EC"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Informe detallado de la operación.</w:t>
      </w:r>
    </w:p>
    <w:p w14:paraId="569F2757"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Los análisis efectuados por cada una de las áreas de la empresa involucradas en la operación con su respectiva conclusión.</w:t>
      </w:r>
    </w:p>
    <w:p w14:paraId="32B50ED2"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Demás documentación que se considere necesaria para facilitar la evaluación y análisis de los hechos, operaciones o actividades reportadas. </w:t>
      </w:r>
    </w:p>
    <w:p w14:paraId="67065C70"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El perfil del cliente y declaración jurada.</w:t>
      </w:r>
    </w:p>
    <w:p w14:paraId="7A151FD5"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Detalle de los productos y servicios que se prestan al cliente.</w:t>
      </w:r>
    </w:p>
    <w:p w14:paraId="177324D8"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Contratos del producto o servicio.</w:t>
      </w:r>
    </w:p>
    <w:p w14:paraId="37592CB0"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Detalle de las medidas de debida diligencia aplicadas del cliente.</w:t>
      </w:r>
    </w:p>
    <w:p w14:paraId="73143AF2"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Documentos de respaldo de la transacción inusual determinada como sospechosa.</w:t>
      </w:r>
    </w:p>
    <w:p w14:paraId="6A263C0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7DA3BA6" w14:textId="1DABEE2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 igual forma, procederá el Reporte de tentativa de transacción sospechosa cuando se tenga conocimiento de que una persona individual o jurídica, sea cliente o no, pretenda realizar una transacción inusual o no justificada que se infiera relacionada con el LD/FT/FPADM y que no se perfecciona porque quien intenta llevarla a cabo desiste de ella o porque los controles establecidos por Propi no permitieron o impidieron su realización. Estas situaciones se reportarán a la IVE como transacción sospechosa no concluida (tentativa), utilizando el formulario y los medios que esta defina (artículo 29 del Decreto 15-2026, transacción inusual «concluida o no»).</w:t>
      </w:r>
    </w:p>
    <w:p w14:paraId="6A2F3E59"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177BD84"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Queda terminantemente prohibido revelar a terceros, incluido el cliente, que se ha remitido o comunicado un RTS, información, documentación, expedientes o registros a la IVE o a autoridad competente, o que se está examinando alguna transacción o realizándose alguna investigación; la prohibición subsiste aun después de que las personas hayan cesado en sus funciones (artículo 38 del Decreto 15-2026). Propi, sus directores, gerentes, funcionarios, oficiales de cumplimiento, representantes legales y empleados quedan exentos de responsabilidad legal por haber proporcionado de buena fe información a las autoridades competentes, incluida la comunicación de RTS (artículo 37).</w:t>
      </w:r>
    </w:p>
    <w:p w14:paraId="59AE3AF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C199AB6" w14:textId="77777777" w:rsidR="001815AC" w:rsidRPr="0057078F" w:rsidRDefault="00000000" w:rsidP="0057078F">
      <w:pPr>
        <w:pStyle w:val="Heading2"/>
        <w:numPr>
          <w:ilvl w:val="0"/>
          <w:numId w:val="3"/>
        </w:numPr>
        <w:spacing w:line="276" w:lineRule="auto"/>
        <w:rPr>
          <w:rFonts w:cs="Calibri"/>
        </w:rPr>
      </w:pPr>
      <w:bookmarkStart w:id="1289" w:name="_Toc176997917"/>
      <w:bookmarkEnd w:id="1289"/>
      <w:r>
        <w:rPr>
          <w:rFonts w:cs="Calibri"/>
        </w:rPr>
        <w:t xml:space="preserve">REGISTRO Y REPORTE DE TRANSACCIONES EN EFECTIVO Y OTROS REPORTES</w:t>
      </w:r>
    </w:p>
    <w:p w14:paraId="4D50DE55" w14:textId="77777777" w:rsidR="001815AC" w:rsidRPr="0057078F" w:rsidRDefault="001815AC" w:rsidP="0057078F">
      <w:pPr>
        <w:spacing w:line="276" w:lineRule="auto"/>
        <w:rPr>
          <w:rFonts w:ascii="Calibri" w:hAnsi="Calibri" w:cs="Calibri"/>
          <w:sz w:val="24"/>
          <w:szCs w:val="24"/>
        </w:rPr>
      </w:pPr>
    </w:p>
    <w:p w14:paraId="326E2EC8" w14:textId="12A70DC5"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Propi llevará y mantendrá un registro diario de toda transacción en efectivo, sea única o estructurada, que reciba de sus clientes por un monto igual o mayor a diez mil dólares de los Estados Unidos de América (US$ 10,000.00) o su equivalente en moneda nacional o cualquier otra divisa, y remitirá a la IVE el reporte periódico de dichas transacciones (artículo 31 del Decreto 15-2026). Asimismo, remitirá los demás reportes, ocasionales o periódicos, que requiera la IVE, incluido el reporte mensual de operaciones inmobiliarias que corresponda a su sector y los reportes negativos o «sin movimiento» cuando esta los requiera (artículo 32), utilizando exclusivamente los medios y plazos que esta establezca (artículo 33).</w:t>
      </w:r>
    </w:p>
    <w:p w14:paraId="175521AF" w14:textId="23DCE8D4" w:rsidR="001815AC" w:rsidRPr="0057078F" w:rsidRDefault="00000000" w:rsidP="0057078F">
      <w:pPr>
        <w:numPr>
          <w:ilvl w:val="0"/>
          <w:numId w:val="1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Los criterios para identificar transacciones individuales y múltiples en efectivo, los umbrales aplicables a transacciones por otros medios y los plazos de presentación de cada reporte se desarrollan en el Procedimiento de Reportes vigente, en concordancia con el Decreto 15-2026, su reglamentación y las disposiciones de la IVE.</w:t>
      </w:r>
    </w:p>
    <w:p w14:paraId="6870D97C" w14:textId="77777777" w:rsidR="001815AC" w:rsidRPr="0057078F" w:rsidRDefault="001815AC" w:rsidP="0057078F">
      <w:pPr>
        <w:pBdr>
          <w:top w:val="nil"/>
          <w:left w:val="nil"/>
          <w:bottom w:val="nil"/>
          <w:right w:val="nil"/>
          <w:between w:val="nil"/>
        </w:pBdr>
        <w:spacing w:after="0" w:line="276" w:lineRule="auto"/>
        <w:ind w:firstLine="720"/>
        <w:jc w:val="both"/>
        <w:rPr>
          <w:rFonts w:ascii="Calibri" w:eastAsia="Calibri" w:hAnsi="Calibri" w:cs="Calibri"/>
          <w:color w:val="1A1A1A"/>
          <w:sz w:val="24"/>
          <w:szCs w:val="24"/>
        </w:rPr>
      </w:pPr>
    </w:p>
    <w:p w14:paraId="4C544CCD" w14:textId="77777777" w:rsidR="001815AC" w:rsidRPr="0057078F" w:rsidRDefault="00000000" w:rsidP="0057078F">
      <w:pPr>
        <w:pStyle w:val="Heading2"/>
        <w:numPr>
          <w:ilvl w:val="1"/>
          <w:numId w:val="22"/>
        </w:numPr>
        <w:spacing w:line="276" w:lineRule="auto"/>
        <w:rPr>
          <w:rFonts w:cs="Calibri"/>
        </w:rPr>
      </w:pPr>
      <w:bookmarkStart w:id="1355" w:name="_Toc176997918"/>
      <w:r>
        <w:rPr>
          <w:rFonts w:cs="Calibri"/>
        </w:rPr>
        <w:t>ATENCIÓN DE REQUERIMIENTOS DE INFORMACIÓN</w:t>
      </w:r>
      <w:bookmarkEnd w:id="1355"/>
    </w:p>
    <w:p w14:paraId="59133DBF" w14:textId="650C6165" w:rsidR="001815AC" w:rsidRPr="0057078F" w:rsidRDefault="00000000" w:rsidP="0057078F">
      <w:pP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Oficial de Cumplimiento recibirá las solicitudes de información que realice la Superintendencia de Bancos a través de la Intendencia de Verificación Especial.</w:t>
      </w:r>
    </w:p>
    <w:p>
      <w:pP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Propi queda sujeta a la supervisión y verificación de la Superintendencia de Bancos a través de la Intendencia de Verificación Especial (artículos 51 y 52 del Decreto 15-2026) y facilitará las visitas, inspecciones y requerimientos que esta realice.</w:t>
      </w:r>
    </w:p>
    <w:p w14:paraId="5234AA18" w14:textId="55AC6900" w:rsidR="001815AC" w:rsidRPr="0057078F" w:rsidRDefault="00000000" w:rsidP="0057078F">
      <w:pP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información contenida en dichas solicitudes es de carácter confidencial y para uso exclusivo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por consiguiente, no se le debe comunicar a los clientes, ni entregarles copias en el caso de que éstos las soliciten. Nunca se debe dar a conocer a terceras personas o al cliente, esta información, para no violar la reserva de información.</w:t>
      </w:r>
    </w:p>
    <w:p w14:paraId="23142CEF" w14:textId="0E35CCD6" w:rsidR="001815AC" w:rsidRPr="0057078F" w:rsidRDefault="00000000" w:rsidP="0057078F">
      <w:pPr>
        <w:spacing w:line="276" w:lineRule="auto"/>
        <w:jc w:val="both"/>
        <w:rPr>
          <w:rFonts w:ascii="Calibri" w:eastAsia="Calibri" w:hAnsi="Calibri" w:cs="Calibri"/>
          <w:color w:val="1A1A1A"/>
          <w:sz w:val="24"/>
          <w:szCs w:val="24"/>
        </w:rPr>
      </w:pPr>
      <w:r>
        <w:rPr>
          <w:rFonts w:ascii="Calibri" w:hAnsi="Calibri" w:cs="Calibri"/>
          <w:color w:val="0E0E0E"/>
          <w:sz w:val="24"/>
          <w:szCs w:val="24"/>
          <w:lang w:val="es-ES"/>
        </w:rPr>
        <w:t xml:space="preserve">En caso de que Propi no pudiera cumplir con el plazo establecido por la IVE para la entrega de información, documentación, expedientes o registros, el Oficial de Cumplimiento solicitará una prórroga por escrito, a más tardar dos (2) días antes del vencimiento del plazo original, explicando los motivos que la justifiquen (artículo 36 del Decreto 15-2026). Propi prestará su colaboración a la IVE proporcionando acceso inmediato y gratuito a sus fuentes, sistemas de información, registros y documentos, sin que pueda oponerse confidencialidad alguna (artículo 35).</w:t>
      </w:r>
    </w:p>
    <w:p>
      <w:pPr>
        <w:pStyle w:val="Heading2"/>
        <w:numPr>
          <w:ilvl w:val="1"/>
          <w:numId w:val="22"/>
        </w:numPr>
        <w:spacing w:line="276" w:lineRule="auto"/>
        <w:rPr>
          <w:rFonts w:cs="Calibri"/>
        </w:rPr>
      </w:pPr>
      <w:r>
        <w:rPr>
          <w:rFonts w:cs="Calibri"/>
        </w:rPr>
        <w:t xml:space="preserve">CUMPLIMIENTO DE LAS RESOLUCIONES DEL CONSEJO DE SEGURIDAD DE LAS NACIONES UNIDAS</w:t>
      </w:r>
    </w:p>
    <w:p>
      <w:pPr>
        <w:spacing w:line="276" w:lineRule="auto"/>
        <w:jc w:val="both"/>
        <w:rPr>
          <w:rFonts w:ascii="Calibri" w:eastAsia="Calibri" w:hAnsi="Calibri" w:cs="Calibri"/>
          <w:color w:val="1A1A1A"/>
          <w:sz w:val="24"/>
          <w:szCs w:val="24"/>
        </w:rPr>
      </w:pPr>
      <w:r>
        <w:rPr>
          <w:rFonts w:ascii="Calibri" w:hAnsi="Calibri" w:cs="Calibri"/>
          <w:color w:val="0E0E0E"/>
          <w:sz w:val="24"/>
          <w:szCs w:val="24"/>
          <w:lang w:val="es-ES"/>
        </w:rPr>
        <w:t xml:space="preserve">Propi controlará permanentemente y verificará si sus clientes, o quienes pretendan iniciar una relación de negocios, se encuentran designados en las listas de personas, entidades o grupos emitidas y mantenidas por el Consejo de Seguridad de las Naciones Unidas en virtud de las resoluciones S/RES/1267 (1999), 1988 (2011), 1989 (2011) y 2253 (2015), relativas al terrorismo; 1718 (2006), 1737 (2006) y 2231 (2015), relativas al financiamiento de la proliferación de armas de destrucción masiva; y 1373 (2001), y sus sucesivas (artículo 43 del Decreto 15-2026).</w:t>
      </w:r>
    </w:p>
    <w:p>
      <w:pPr>
        <w:spacing w:line="276" w:lineRule="auto"/>
        <w:jc w:val="both"/>
        <w:rPr>
          <w:rFonts w:ascii="Calibri" w:eastAsia="Calibri" w:hAnsi="Calibri" w:cs="Calibri"/>
          <w:color w:val="1A1A1A"/>
          <w:sz w:val="24"/>
          <w:szCs w:val="24"/>
        </w:rPr>
      </w:pPr>
      <w:r>
        <w:rPr>
          <w:rFonts w:ascii="Calibri" w:hAnsi="Calibri" w:cs="Calibri"/>
          <w:color w:val="0E0E0E"/>
          <w:sz w:val="24"/>
          <w:szCs w:val="24"/>
          <w:lang w:val="es-ES"/>
        </w:rPr>
        <w:t xml:space="preserve">De existir coincidencia con los nombres o datos de identificación de las referidas listas, Propi procederá de inmediato a limitar con efecto preventivo la disposición de los fondos o activos del cliente o controlados por este que se encuentren bajo su administración o a su cargo por cualquier motivo, así como sus frutos, y lo comunicará por escrito al Ministerio Público en un plazo que no excederá de veinticuatro (24) horas, adjuntando la documentación correspondiente. La medida se levantará únicamente al recibir notificación de juez competente que así lo ordene o cuando el Consejo de Seguridad revoque la designación (artículo 44).</w:t>
      </w:r>
    </w:p>
    <w:p>
      <w:pPr>
        <w:spacing w:line="276" w:lineRule="auto"/>
        <w:jc w:val="both"/>
        <w:rPr>
          <w:rFonts w:ascii="Calibri" w:eastAsia="Calibri" w:hAnsi="Calibri" w:cs="Calibri"/>
          <w:color w:val="1A1A1A"/>
          <w:sz w:val="24"/>
          <w:szCs w:val="24"/>
        </w:rPr>
      </w:pPr>
      <w:r>
        <w:rPr>
          <w:rFonts w:ascii="Calibri" w:hAnsi="Calibri" w:cs="Calibri"/>
          <w:color w:val="0E0E0E"/>
          <w:sz w:val="24"/>
          <w:szCs w:val="24"/>
          <w:lang w:val="es-ES"/>
        </w:rPr>
        <w:t xml:space="preserve">Está prohibido informar al cliente o a terceros sobre la coincidencia, la limitación preventiva o la comunicación al Ministerio Público. Propi y sus funcionarios quedan exentos de responsabilidad penal, civil o administrativa por haber aplicado la limitación con efecto preventivo conforme a la Ley (artículo 43). Propi remitirá a la IVE el reporte periódico sobre si detectó o no coincidencias, en la forma y plazo que esta establezca.</w:t>
      </w:r>
    </w:p>
    <w:p>
      <w:pPr>
        <w:spacing w:line="276" w:lineRule="auto"/>
        <w:jc w:val="both"/>
        <w:rPr>
          <w:rFonts w:ascii="Calibri" w:eastAsia="Calibri" w:hAnsi="Calibri" w:cs="Calibri"/>
          <w:color w:val="1A1A1A"/>
          <w:sz w:val="24"/>
          <w:szCs w:val="24"/>
        </w:rPr>
      </w:pPr>
      <w:r>
        <w:rPr>
          <w:rFonts w:ascii="Calibri" w:hAnsi="Calibri" w:cs="Calibri"/>
          <w:color w:val="0E0E0E"/>
          <w:sz w:val="24"/>
          <w:szCs w:val="24"/>
          <w:lang w:val="es-ES"/>
        </w:rPr>
        <w:t xml:space="preserve">El paso a paso operativo se desarrolla en el Procedimiento de inmovilización y reporte ante coincidencia en listas del Consejo de Seguridad de las Naciones Unidas, documento complementario de este Manual.</w:t>
      </w:r>
    </w:p>
    <w:p w14:paraId="580C9C06" w14:textId="77777777" w:rsidR="001815AC" w:rsidRPr="0057078F" w:rsidRDefault="00000000" w:rsidP="0057078F">
      <w:pPr>
        <w:pStyle w:val="Heading1"/>
        <w:spacing w:line="276" w:lineRule="auto"/>
        <w:rPr>
          <w:rFonts w:cs="Calibri"/>
        </w:rPr>
      </w:pPr>
      <w:bookmarkStart w:id="1378" w:name="_Toc176997919"/>
      <w:bookmarkEnd w:id="1378"/>
      <w:r>
        <w:rPr>
          <w:rFonts w:cs="Calibri"/>
        </w:rPr>
        <w:t xml:space="preserve">ENFOQUE BASADO EN RIESGO Y MATRIZ DE RIESGO</w:t>
      </w:r>
    </w:p>
    <w:p w14:paraId="76CA6BCA" w14:textId="77777777" w:rsidR="001815AC" w:rsidRPr="0057078F" w:rsidRDefault="001815AC" w:rsidP="0057078F">
      <w:pPr>
        <w:spacing w:line="276" w:lineRule="auto"/>
        <w:rPr>
          <w:rFonts w:ascii="Calibri" w:hAnsi="Calibri" w:cs="Calibri"/>
          <w:sz w:val="24"/>
          <w:szCs w:val="24"/>
        </w:rPr>
      </w:pPr>
    </w:p>
    <w:p w14:paraId="4E962DE0" w14:textId="77777777" w:rsidR="001815AC" w:rsidRPr="0057078F" w:rsidRDefault="00000000" w:rsidP="0057078F">
      <w:pPr>
        <w:spacing w:line="276" w:lineRule="auto"/>
        <w:jc w:val="both"/>
        <w:rPr>
          <w:rFonts w:ascii="Calibri" w:eastAsia="Calibri" w:hAnsi="Calibri" w:cs="Calibri"/>
          <w:sz w:val="24"/>
          <w:szCs w:val="24"/>
        </w:rPr>
      </w:pPr>
      <w:r>
        <w:rPr>
          <w:rFonts w:ascii="Calibri" w:eastAsia="Calibri" w:hAnsi="Calibri" w:cs="Calibri"/>
          <w:sz w:val="24"/>
          <w:szCs w:val="24"/>
        </w:rPr>
        <w:t xml:space="preserve">Propi administra su Riesgo LD/FT/FPADM mediante un proceso integral de identificación, evaluación y mitigación, proporcional a la naturaleza, volumen y complejidad de sus actividades, que le permite asignar sus recursos y establecer medidas idóneas conforme a los riesgos identificados. Dicho proceso, su metodología y sus actualizaciones son aprobados por el órgano de dirección superior y constan debidamente documentados (artículo 8 del Decreto 15-2026).</w:t>
      </w:r>
    </w:p>
    <w:p w14:paraId="726AD033" w14:textId="77777777" w:rsidR="001815AC" w:rsidRPr="0057078F" w:rsidRDefault="001815AC" w:rsidP="0057078F">
      <w:pPr>
        <w:spacing w:line="276" w:lineRule="auto"/>
        <w:jc w:val="both"/>
        <w:rPr>
          <w:rFonts w:ascii="Calibri" w:eastAsia="Calibri" w:hAnsi="Calibri" w:cs="Calibri"/>
          <w:sz w:val="24"/>
          <w:szCs w:val="24"/>
        </w:rPr>
      </w:pPr>
    </w:p>
    <w:p w14:paraId="06C22EF7" w14:textId="77777777" w:rsidR="001815AC" w:rsidRPr="0057078F" w:rsidRDefault="00000000" w:rsidP="0057078F">
      <w:pPr>
        <w:spacing w:line="276" w:lineRule="auto"/>
        <w:jc w:val="both"/>
        <w:rPr>
          <w:rFonts w:ascii="Calibri" w:eastAsia="Calibri" w:hAnsi="Calibri" w:cs="Calibri"/>
          <w:sz w:val="24"/>
          <w:szCs w:val="24"/>
        </w:rPr>
      </w:pPr>
      <w:r>
        <w:rPr>
          <w:rFonts w:ascii="Calibri" w:eastAsia="Calibri" w:hAnsi="Calibri" w:cs="Calibri"/>
          <w:sz w:val="24"/>
          <w:szCs w:val="24"/>
        </w:rPr>
        <w:t xml:space="preserve">El riesgo de LD/FT/FPADM se materializa a través de los riesgos asociados, estos son: el legal, reputacional, operativo y de contagio a los que se expone </w:t>
      </w:r>
      <w:r>
        <w:rPr>
          <w:rFonts w:ascii="Calibri" w:eastAsia="Calibri" w:hAnsi="Calibri" w:cs="Calibri"/>
          <w:b/>
          <w:sz w:val="24"/>
          <w:szCs w:val="24"/>
        </w:rPr>
        <w:t>Propi</w:t>
      </w:r>
      <w:r>
        <w:rPr>
          <w:rFonts w:ascii="Calibri" w:eastAsia="Calibri" w:hAnsi="Calibri" w:cs="Calibri"/>
          <w:sz w:val="24"/>
          <w:szCs w:val="24"/>
        </w:rPr>
        <w:t xml:space="preserve"> con el respectivo efecto económico negativo que puede representar para su estabilidad financiera cuando es utilizada para tales actividades.</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Identificación del riesgo (artículo 9). Propi identifica el Riesgo LD/FT/FPADM al que está expuesta por sus actividades y modelo de negocio mediante una metodología que establece sus factores de riesgo, considerando como mínimo la base de clientes, la ubicación geográfica, los canales de distribución y los bienes, productos o servicios ofrecidos, e identifica las variables y eventos de riesgo en cada uno de esos factores.</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Evaluación del riesgo (artículo 10). Propi evalúa periódicamente cómo el riesgo identificado le puede afectar, mediante una autoevaluación sobre el negocio en su conjunto y las evaluaciones particulares de la relación comercial con sus clientes, analizando la probabilidad de ocurrencia y el posible impacto, y considerando los resultados de las evaluaciones nacionales o sectoriales que le comunique la IVE.</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Mitigación del riesgo (artículo 11). Con base en el riesgo evaluado, Propi implementa las políticas, procedimientos, controles y sistemas de información que le permiten monitorear, informar y controlar su nivel de riesgo. Propi realizará el proceso de administración del riesgo previo al lanzamiento de nuevos bienes, productos o servicios y previo al uso o adopción de nuevas tecnologías o prácticas comerciales.</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La matriz de riesgo consolidada de Propi, con sus segmentos (clientes, desarrolladoras, corredores externos, proveedores y empleados), variables y metodología de calificación (probabilidad, impacto, nivel de riesgo y frecuencia de monitoreo), se incorpora como Anexo de este Manual y se actualiza conforme a lo previsto en esta sección sin necesidad de modificar el cuerpo del Manual.</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Eventos de riesgo identificados por factor (artículo 9 del Decreto 15-2026), cuya calificación, controles y frecuencia de monitoreo constan en la matriz de riesgo consolidada:</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Factor clientes: vinculación del cliente, de su beneficiario final o de la contraparte con actividades de LD/FT/FPADM; información falsa, inexacta o insuficiente proporcionada por el cliente; clientes PEP o comprendidos en las situaciones especiales del artículo 25.</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Factor ubicación geográfica: clientes, fondos, beneficiarios finales o contrapartes vinculados a países o jurisdicciones de alto riesgo según el GAFI o sujetos a sanciones del Consejo de Seguridad de las Naciones Unidas.</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Factor canales de distribución y tecnología: relaciones y transacciones sin presencia física de las partes y uso de la plataforma tecnológica que favorezcan el anonimato; ciberataques que comprometan la integridad o confidencialidad de los expedientes y de la información de las transacciones.</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Factor bienes, productos y servicios: operaciones inmobiliarias de alto valor; pagos en efectivo o provenientes del exterior; adquisición de inmuebles por medio de estructuras jurídicas o interpósitas personas; modalidades de cobro por cuenta de terceros.</w:t>
      </w:r>
    </w:p>
    <w:p>
      <w:pPr>
        <w:spacing w:line="276" w:lineRule="auto"/>
        <w:jc w:val="both"/>
        <w:rPr>
          <w:rFonts w:ascii="Calibri" w:eastAsia="Calibri" w:hAnsi="Calibri" w:cs="Calibri"/>
          <w:sz w:val="24"/>
          <w:szCs w:val="24"/>
        </w:rPr>
      </w:pPr>
      <w:r>
        <w:rPr>
          <w:rFonts w:ascii="Calibri" w:eastAsia="Calibri" w:hAnsi="Calibri" w:cs="Calibri"/>
          <w:sz w:val="24"/>
          <w:szCs w:val="24"/>
        </w:rPr>
        <w:t xml:space="preserve">Eventos operativos del sistema de prevención: omisión o aplicación incompleta de la debida diligencia; análisis incorrecto por información errónea; monitoreo inadecuado o falta de información oportuna para decidir; incumplimiento de los plazos de reporte.</w:t>
      </w:r>
    </w:p>
    <w:p w14:paraId="62906590" w14:textId="77777777" w:rsidR="001815AC" w:rsidRPr="0057078F" w:rsidRDefault="001815AC" w:rsidP="0057078F">
      <w:pPr>
        <w:spacing w:line="276" w:lineRule="auto"/>
        <w:jc w:val="both"/>
        <w:rPr>
          <w:rFonts w:ascii="Calibri" w:eastAsia="Calibri" w:hAnsi="Calibri" w:cs="Calibri"/>
          <w:sz w:val="24"/>
          <w:szCs w:val="24"/>
        </w:rPr>
      </w:pPr>
    </w:p>
    <w:p w14:paraId="3D4BDE6C" w14:textId="77777777" w:rsidR="001815AC" w:rsidRPr="0057078F" w:rsidRDefault="001815AC" w:rsidP="0057078F">
      <w:pPr>
        <w:spacing w:line="276" w:lineRule="auto"/>
        <w:jc w:val="both"/>
        <w:rPr>
          <w:rFonts w:ascii="Calibri" w:eastAsia="Calibri" w:hAnsi="Calibri" w:cs="Calibri"/>
          <w:sz w:val="24"/>
          <w:szCs w:val="24"/>
        </w:rPr>
      </w:pPr>
    </w:p>
    <w:p w14:paraId="08A006A1" w14:textId="77777777" w:rsidR="001815AC" w:rsidRPr="0057078F" w:rsidRDefault="00000000" w:rsidP="0057078F">
      <w:pPr>
        <w:pBdr>
          <w:top w:val="nil"/>
          <w:left w:val="nil"/>
          <w:bottom w:val="nil"/>
          <w:right w:val="nil"/>
          <w:between w:val="nil"/>
        </w:pBdr>
        <w:spacing w:line="276" w:lineRule="auto"/>
        <w:rPr>
          <w:rFonts w:ascii="Calibri" w:eastAsia="Calibri" w:hAnsi="Calibri" w:cs="Calibri"/>
          <w:b/>
          <w:smallCaps/>
          <w:color w:val="242852"/>
          <w:sz w:val="24"/>
          <w:szCs w:val="24"/>
        </w:rPr>
      </w:pPr>
      <w:bookmarkStart w:id="1401" w:name="_heading=h.4f1mdlm" w:colFirst="0" w:colLast="0"/>
      <w:bookmarkEnd w:id="1401"/>
    </w:p>
    <w:tbl>
      <w:tblPr>
        <w:tblStyle w:val="a4"/>
        <w:tblW w:w="9090" w:type="dxa"/>
        <w:tblLayout w:type="fixed"/>
        <w:tblLook w:val="0400" w:firstRow="0" w:lastRow="0" w:firstColumn="0" w:lastColumn="0" w:noHBand="0" w:noVBand="1"/>
      </w:tblPr>
      <w:tblGrid>
        <w:gridCol w:w="497"/>
        <w:gridCol w:w="1765"/>
        <w:gridCol w:w="290"/>
        <w:gridCol w:w="1498"/>
        <w:gridCol w:w="1170"/>
        <w:gridCol w:w="1080"/>
        <w:gridCol w:w="1170"/>
        <w:gridCol w:w="1620"/>
      </w:tblGrid>
    </w:tbl>
    <w:p w14:paraId="4F7DDC8B" w14:textId="77777777" w:rsidR="001815AC" w:rsidRPr="0057078F" w:rsidRDefault="001815AC" w:rsidP="0057078F">
      <w:pPr>
        <w:spacing w:line="276" w:lineRule="auto"/>
        <w:jc w:val="both"/>
        <w:rPr>
          <w:rFonts w:ascii="Calibri" w:eastAsia="Calibri" w:hAnsi="Calibri" w:cs="Calibri"/>
          <w:sz w:val="24"/>
          <w:szCs w:val="24"/>
        </w:rPr>
      </w:pPr>
    </w:p>
    <w:p w14:paraId="2A82A5A7" w14:textId="77777777" w:rsidR="001815AC" w:rsidRPr="0057078F" w:rsidRDefault="00000000" w:rsidP="0057078F">
      <w:pPr>
        <w:spacing w:after="0" w:line="276" w:lineRule="auto"/>
        <w:jc w:val="both"/>
        <w:rPr>
          <w:rFonts w:ascii="Calibri" w:eastAsia="Calibri" w:hAnsi="Calibri" w:cs="Calibri"/>
          <w:sz w:val="24"/>
          <w:szCs w:val="24"/>
        </w:rPr>
      </w:pPr>
      <w:r>
        <w:rPr>
          <w:rFonts w:ascii="Calibri" w:eastAsia="Calibri" w:hAnsi="Calibri" w:cs="Calibri"/>
          <w:sz w:val="24"/>
          <w:szCs w:val="24"/>
        </w:rPr>
        <w:t xml:space="preserve">De acuerdo con la colorimetría de la matriz, el plazo mínimo de monitoreo será:</w:t>
      </w:r>
    </w:p>
    <w:p w14:paraId="7119B362" w14:textId="77777777" w:rsidR="001815AC" w:rsidRPr="0057078F" w:rsidRDefault="00000000" w:rsidP="0057078F">
      <w:pPr>
        <w:numPr>
          <w:ilvl w:val="0"/>
          <w:numId w:val="21"/>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b/>
          <w:color w:val="000000"/>
          <w:sz w:val="24"/>
          <w:szCs w:val="24"/>
        </w:rPr>
        <w:t>Rojo</w:t>
      </w:r>
      <w:r>
        <w:rPr>
          <w:rFonts w:ascii="Calibri" w:eastAsia="Calibri" w:hAnsi="Calibri" w:cs="Calibri"/>
          <w:color w:val="000000"/>
          <w:sz w:val="24"/>
          <w:szCs w:val="24"/>
        </w:rPr>
        <w:t>: al menos mensual</w:t>
      </w:r>
    </w:p>
    <w:p w14:paraId="0203ADE4" w14:textId="77777777" w:rsidR="001815AC" w:rsidRPr="0057078F" w:rsidRDefault="00000000" w:rsidP="0057078F">
      <w:pPr>
        <w:numPr>
          <w:ilvl w:val="0"/>
          <w:numId w:val="21"/>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b/>
          <w:color w:val="000000"/>
          <w:sz w:val="24"/>
          <w:szCs w:val="24"/>
        </w:rPr>
        <w:t>Amarillo</w:t>
      </w:r>
      <w:r>
        <w:rPr>
          <w:rFonts w:ascii="Calibri" w:eastAsia="Calibri" w:hAnsi="Calibri" w:cs="Calibri"/>
          <w:color w:val="000000"/>
          <w:sz w:val="24"/>
          <w:szCs w:val="24"/>
        </w:rPr>
        <w:t>: al menos trimestral</w:t>
      </w:r>
    </w:p>
    <w:p w14:paraId="6232BDE5" w14:textId="77777777" w:rsidR="001815AC" w:rsidRPr="0057078F" w:rsidRDefault="00000000" w:rsidP="0057078F">
      <w:pPr>
        <w:numPr>
          <w:ilvl w:val="0"/>
          <w:numId w:val="21"/>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b/>
          <w:color w:val="000000"/>
          <w:sz w:val="24"/>
          <w:szCs w:val="24"/>
        </w:rPr>
        <w:t>Verde</w:t>
      </w:r>
      <w:r>
        <w:rPr>
          <w:rFonts w:ascii="Calibri" w:eastAsia="Calibri" w:hAnsi="Calibri" w:cs="Calibri"/>
          <w:color w:val="000000"/>
          <w:sz w:val="24"/>
          <w:szCs w:val="24"/>
        </w:rPr>
        <w:t>: al menos semestral</w:t>
      </w:r>
    </w:p>
    <w:p>
      <w:pPr>
        <w:numPr>
          <w:ilvl w:val="0"/>
          <w:numId w:val="21"/>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b/>
          <w:color w:val="000000"/>
          <w:sz w:val="24"/>
          <w:szCs w:val="24"/>
        </w:rPr>
        <w:t xml:space="preserve">[ESPACIO RESERVADO — ANEXO: MATRIZ DE RIESGO CONSOLIDADA. Se incorporará la matriz consolidada una vez revisada y aprobada.]</w:t>
      </w:r>
    </w:p>
    <w:p w14:paraId="4357CA44" w14:textId="77777777" w:rsidR="001815AC" w:rsidRPr="0057078F" w:rsidRDefault="00000000" w:rsidP="0057078F">
      <w:pPr>
        <w:pBdr>
          <w:top w:val="nil"/>
          <w:left w:val="nil"/>
          <w:bottom w:val="nil"/>
          <w:right w:val="nil"/>
          <w:between w:val="nil"/>
        </w:pBdr>
        <w:spacing w:line="276" w:lineRule="auto"/>
        <w:rPr>
          <w:rFonts w:ascii="Calibri" w:eastAsia="Calibri" w:hAnsi="Calibri" w:cs="Calibri"/>
          <w:b/>
          <w:smallCaps/>
          <w:color w:val="242852"/>
          <w:sz w:val="24"/>
          <w:szCs w:val="24"/>
        </w:rPr>
      </w:pPr>
      <w:bookmarkStart w:id="1470" w:name="_heading=h.2u6wntf" w:colFirst="0" w:colLast="0"/>
      <w:bookmarkEnd w:id="1470"/>
    </w:p>
    <w:tbl>
      <w:tblPr>
        <w:tblStyle w:val="a5"/>
        <w:tblW w:w="5540" w:type="dxa"/>
        <w:tblLayout w:type="fixed"/>
        <w:tblLook w:val="0400" w:firstRow="0" w:lastRow="0" w:firstColumn="0" w:lastColumn="0" w:noHBand="0" w:noVBand="1"/>
      </w:tblPr>
      <w:tblGrid>
        <w:gridCol w:w="960"/>
        <w:gridCol w:w="4580"/>
      </w:tblGrid>
    </w:tbl>
    <w:p w14:paraId="7242A2CE" w14:textId="77777777" w:rsidR="0057078F" w:rsidRPr="0057078F" w:rsidRDefault="0057078F" w:rsidP="0057078F">
      <w:pPr>
        <w:spacing w:line="276" w:lineRule="auto"/>
        <w:jc w:val="both"/>
        <w:rPr>
          <w:rFonts w:ascii="Calibri" w:eastAsia="Calibri" w:hAnsi="Calibri" w:cs="Calibri"/>
          <w:sz w:val="24"/>
          <w:szCs w:val="24"/>
        </w:rPr>
      </w:pPr>
    </w:p>
    <w:p w14:paraId="11FAAC37" w14:textId="6C00E923" w:rsidR="001815AC" w:rsidRPr="0057078F" w:rsidRDefault="00000000" w:rsidP="0057078F">
      <w:pPr>
        <w:pBdr>
          <w:top w:val="nil"/>
          <w:left w:val="nil"/>
          <w:bottom w:val="nil"/>
          <w:right w:val="nil"/>
          <w:between w:val="nil"/>
        </w:pBdr>
        <w:spacing w:line="276" w:lineRule="auto"/>
        <w:rPr>
          <w:rFonts w:ascii="Calibri" w:eastAsia="Calibri" w:hAnsi="Calibri" w:cs="Calibri"/>
          <w:b/>
          <w:smallCaps/>
          <w:color w:val="242852"/>
          <w:sz w:val="24"/>
          <w:szCs w:val="24"/>
        </w:rPr>
      </w:pPr>
      <w:bookmarkStart w:id="1473" w:name="_heading=h.19c6y18" w:colFirst="0" w:colLast="0"/>
      <w:bookmarkEnd w:id="1473"/>
    </w:p>
    <w:tbl>
      <w:tblPr>
        <w:tblStyle w:val="a6"/>
        <w:tblW w:w="9535" w:type="dxa"/>
        <w:jc w:val="center"/>
        <w:tblLayout w:type="fixed"/>
        <w:tblLook w:val="0400" w:firstRow="0" w:lastRow="0" w:firstColumn="0" w:lastColumn="0" w:noHBand="0" w:noVBand="1"/>
      </w:tblPr>
      <w:tblGrid>
        <w:gridCol w:w="704"/>
        <w:gridCol w:w="2531"/>
        <w:gridCol w:w="729"/>
        <w:gridCol w:w="801"/>
        <w:gridCol w:w="810"/>
        <w:gridCol w:w="1080"/>
        <w:gridCol w:w="2880"/>
      </w:tblGrid>
    </w:tbl>
    <w:p w14:paraId="466023ED" w14:textId="77777777" w:rsidR="001815AC" w:rsidRPr="0057078F" w:rsidRDefault="001815AC" w:rsidP="0057078F">
      <w:pPr>
        <w:spacing w:line="276" w:lineRule="auto"/>
        <w:jc w:val="both"/>
        <w:rPr>
          <w:rFonts w:ascii="Calibri" w:eastAsia="Calibri" w:hAnsi="Calibri" w:cs="Calibri"/>
          <w:sz w:val="24"/>
          <w:szCs w:val="24"/>
        </w:rPr>
      </w:pPr>
    </w:p>
    <w:p w14:paraId="714F0FD7" w14:textId="77777777" w:rsidR="001815AC" w:rsidRPr="0057078F" w:rsidRDefault="00000000" w:rsidP="0057078F">
      <w:pPr>
        <w:pStyle w:val="Heading1"/>
        <w:spacing w:line="276" w:lineRule="auto"/>
        <w:rPr>
          <w:rFonts w:cs="Calibri"/>
        </w:rPr>
      </w:pPr>
      <w:bookmarkStart w:id="1597" w:name="_Toc176997920"/>
      <w:r>
        <w:rPr>
          <w:rFonts w:cs="Calibri"/>
        </w:rPr>
        <w:t>POLÍTICA DE CONFIDENCIALIDAD</w:t>
      </w:r>
      <w:bookmarkEnd w:id="1597"/>
    </w:p>
    <w:p w14:paraId="011F95A8" w14:textId="232A09EA"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598" w:name="_heading=h.28h4qwu" w:colFirst="0" w:colLast="0"/>
      <w:bookmarkEnd w:id="1598"/>
      <w:r>
        <w:rPr>
          <w:rFonts w:ascii="Calibri" w:eastAsia="Calibri" w:hAnsi="Calibri" w:cs="Calibri"/>
          <w:color w:val="1A1A1A"/>
          <w:sz w:val="24"/>
          <w:szCs w:val="24"/>
        </w:rPr>
        <w:t xml:space="preserve">La información obtenida en la ejecución de los procedimientos y prácticas que conforman el Manual de cumplimiento del Sistema Integral de Prevención contra el LD/FT/FPADM es confidencial, lo cual significa que ésta sólo podrá darse a conocer a las autoridades competentes, previo requerimiento. </w:t>
      </w:r>
    </w:p>
    <w:p w14:paraId="33BD0CBF"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69ED67F" w14:textId="2D7E438C"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Por lo tanto, todos los empleados que tienen responsabilidades asignadas por el presente Manual de cumplimiento y los procedimientos que de él se deriven, están en la obligación de custodiar y limitar el uso de esta a los fines estrictamente establecidos.</w:t>
      </w:r>
    </w:p>
    <w:p w14:paraId="4697CD0C"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8A20DAA"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Dada la naturaleza de la información que se maneja, se debe considerar la sensibilidad de los datos que residen en los sistemas de información para el debido control y acceso; la pérdida o mal uso de esta información puede resultar en una variedad de daños, tales como pérdida de confidencialidad e incumplimiento de regulaciones y leyes aplicables a la empresa.</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identidad y la información personal del Oficial de Cumplimiento y de las personas que laboren bajo su dirección son confidenciales (artículo 19 del Decreto 15-2026). Queda prohibido a Propi, sus directores, gerentes, administradores, funcionarios, oficiales de cumplimiento, representantes legales y empleados revelar a terceros que se ha remitido un RTS o información a la IVE o a autoridad competente, o que se examina alguna transacción o se realiza alguna investigación; la prohibición subsiste después del cese en las funciones (artículo 38).</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confidencialidad establecida en este Manual no podrá oponerse a los requerimientos de información de la Superintendencia de Bancos a través de la IVE ni de las autoridades competentes (artículo 35 del Decreto 15-2026).</w:t>
      </w:r>
    </w:p>
    <w:p w14:paraId="0BF31777" w14:textId="77777777" w:rsidR="001815AC" w:rsidRPr="0057078F" w:rsidRDefault="00000000" w:rsidP="0057078F">
      <w:pPr>
        <w:pStyle w:val="Heading1"/>
        <w:spacing w:line="276" w:lineRule="auto"/>
        <w:rPr>
          <w:rFonts w:cs="Calibri"/>
        </w:rPr>
      </w:pPr>
      <w:bookmarkStart w:id="1602" w:name="_Toc176997921"/>
      <w:r>
        <w:rPr>
          <w:rFonts w:cs="Calibri"/>
        </w:rPr>
        <w:t xml:space="preserve">POLÍTICAS PARA ARCHIVO Y CONSERVACIÓN DE DOCUMENTOS</w:t>
      </w:r>
      <w:bookmarkEnd w:id="1602"/>
    </w:p>
    <w:p w14:paraId="07D7E881" w14:textId="0F5C309B"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603" w:name="_heading=h.37m2jsg" w:colFirst="0" w:colLast="0"/>
      <w:bookmarkEnd w:id="1603"/>
      <w:r>
        <w:rPr>
          <w:rFonts w:ascii="Calibri" w:eastAsia="Calibri" w:hAnsi="Calibri" w:cs="Calibri"/>
          <w:color w:val="1A1A1A"/>
          <w:sz w:val="24"/>
          <w:szCs w:val="24"/>
        </w:rPr>
        <w:t xml:space="preserve">De conformidad con el artículo 34 del Decreto 15-2026, que establece un plazo mínimo de conservación de cinco (5) años, Propi adopta como política propia resguardar los documentos del cliente en un expediente único por un período de al menos quince (15) años, contado desde la finalización de la relación de negocios, la cual se entiende concluida con el pago de la última comisión a la Sociedad. El expediente único estará conformado con la documentación establecida en la Política de Conocimiento del Cliente y en la Política de Identificación y Verificación del Beneficiario Final.</w:t>
      </w:r>
    </w:p>
    <w:p w14:paraId="00FF6027"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60186FFD"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seguridad para los depósitos de Archivo comprende lo referente a su accesibilidad para evitar adulteraciones o robos y la seguridad física de la documentación. </w:t>
      </w:r>
    </w:p>
    <w:p w14:paraId="1C874577"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48D231E" w14:textId="506F100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Propi mantendrá, por un período no menor de quince (15) años, a través de medios impresos, digitales o electrónicos que garanticen su integridad, correcta lectura, inalterabilidad, adecuada conservación y fácil localización, toda la documentación que ampara las operaciones o transacciones realizadas con los clientes, así como la correspondencia comercial, los expedientes y los resultados de los análisis o exámenes realizados; dichos registros deben ser suficientes para permitir la reconstrucción íntegra de cada operación y atender los requerimientos de las autoridades competentes (artículo 34 del Decreto 15-2026).</w:t>
      </w:r>
    </w:p>
    <w:p w14:paraId="575E92F6"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A134861" w14:textId="3D62415C"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 xml:space="preserve">En caso de que en algún momento Propi, a través del Oficial de Cumplimiento, decida realizar la destrucción de registros cuyo plazo de conservación haya vencido, el Oficial de Cumplimiento lo informará a la Superintendencia de Bancos, a través de la Intendencia de Verificación Especial, con por lo menos dos (2) meses de anticipación a la fecha prevista, mientras la reglamentación del Decreto 15-2026 o la IVE no dispongan otra forma o plazo, y conservará copia del informe en sus registros. Este informe deberá contener, como mínimo, la siguiente información:</w:t>
      </w:r>
    </w:p>
    <w:p w14:paraId="40CC720D"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7E403B21" w14:textId="77777777" w:rsidR="0057078F" w:rsidRPr="0057078F" w:rsidRDefault="0057078F" w:rsidP="0057078F">
      <w:pPr>
        <w:pStyle w:val="ListParagraph"/>
        <w:numPr>
          <w:ilvl w:val="3"/>
          <w:numId w:val="30"/>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bookmarkStart w:id="1636" w:name="_Hlk176993378"/>
      <w:r>
        <w:rPr>
          <w:rFonts w:ascii="Calibri" w:eastAsia="Calibri" w:hAnsi="Calibri" w:cs="Calibri"/>
          <w:color w:val="1A1A1A"/>
          <w:sz w:val="24"/>
          <w:szCs w:val="24"/>
          <w:lang w:val="es-ES"/>
        </w:rPr>
        <w:t>Nombre completo o razón social del cliente cuyo Registro será descartado.</w:t>
      </w:r>
    </w:p>
    <w:p w14:paraId="01295C1A" w14:textId="77777777" w:rsidR="0057078F" w:rsidRPr="0057078F" w:rsidRDefault="0057078F" w:rsidP="0057078F">
      <w:pPr>
        <w:pStyle w:val="ListParagraph"/>
        <w:numPr>
          <w:ilvl w:val="3"/>
          <w:numId w:val="30"/>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Motivo por el que se realizará la destrucción.</w:t>
      </w:r>
    </w:p>
    <w:p w14:paraId="2ABEEF58" w14:textId="77777777" w:rsidR="0057078F" w:rsidRPr="0057078F" w:rsidRDefault="0057078F" w:rsidP="0057078F">
      <w:pPr>
        <w:pStyle w:val="ListParagraph"/>
        <w:numPr>
          <w:ilvl w:val="3"/>
          <w:numId w:val="30"/>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Fecha prevista de la destrucción del registro.</w:t>
      </w:r>
    </w:p>
    <w:bookmarkEnd w:id="1636"/>
    <w:p w14:paraId="3AA1B485"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4DE808E7"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588EB8C"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lastRenderedPageBreak/>
        <w:t>La información sobre el cliente y las transacciones deberá estar disponible cuando lo requieran las autoridades competentes en debida forma.</w:t>
      </w:r>
    </w:p>
    <w:p w14:paraId="00C135CD" w14:textId="77777777" w:rsidR="001815AC" w:rsidRPr="0057078F" w:rsidRDefault="00000000" w:rsidP="0057078F">
      <w:pPr>
        <w:pStyle w:val="Heading1"/>
        <w:spacing w:line="276" w:lineRule="auto"/>
        <w:rPr>
          <w:rFonts w:cs="Calibri"/>
        </w:rPr>
      </w:pPr>
      <w:bookmarkStart w:id="1645" w:name="_Toc176997922"/>
      <w:r>
        <w:rPr>
          <w:rFonts w:cs="Calibri"/>
        </w:rPr>
        <w:t xml:space="preserve">POLÍTICAS PARA LA CAPACITACIÓN</w:t>
      </w:r>
      <w:bookmarkEnd w:id="1645"/>
      <w:r>
        <w:rPr>
          <w:rFonts w:cs="Calibri"/>
        </w:rPr>
        <w:t xml:space="preserve"> </w:t>
      </w:r>
    </w:p>
    <w:p w14:paraId="0F39A815"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647" w:name="_heading=h.o808db21l6u" w:colFirst="0" w:colLast="0"/>
      <w:bookmarkEnd w:id="1647"/>
      <w:r>
        <w:rPr>
          <w:rFonts w:ascii="Calibri" w:eastAsia="Calibri" w:hAnsi="Calibri" w:cs="Calibri"/>
          <w:color w:val="1A1A1A"/>
          <w:sz w:val="24"/>
          <w:szCs w:val="24"/>
        </w:rPr>
        <w:t xml:space="preserve">La capacitación constituye uno de los elementos fundamentales del Sistema Integral de Prevención Contra el LD/FT/FPADM, pues es necesario crear y fomentar una cultura de prevención en todo el personal. Por lo cual se establecen las siguientes políticas.</w:t>
      </w:r>
    </w:p>
    <w:p w14:paraId="4C1EE4C7"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1F1E05C" w14:textId="14E9F211"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Cada año, el Oficial de Cumplimiento deberá diseñar y someter a aprobación del órgano de dirección superior un Plan de Capacitación Anual, de ejecución continua, para el personal, directores, agentes, corredores, intermediarios y demás colaboradores de Propi cuyo puesto o cargo requiera comprender el Riesgo LD/FT/FPADM, en función de sus responsabilidades (artículo 12, literal b, del Decreto 15-2026). El plan incluirá toda la temática de prevención y control de los riesgos de LD/FT/FPADM y servirá de apoyo para identificar situaciones inusuales o sospechosas en el manejo de las operaciones.</w:t>
      </w:r>
    </w:p>
    <w:p w14:paraId="2738E747"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D0D5350" w14:textId="77777777" w:rsidR="001815AC" w:rsidRPr="0057078F" w:rsidRDefault="00000000" w:rsidP="0057078F">
      <w:pPr>
        <w:numPr>
          <w:ilvl w:val="0"/>
          <w:numId w:val="15"/>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CAPACITACIÓN ANUAL</w:t>
      </w:r>
    </w:p>
    <w:p w14:paraId="13421552"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contenido de la capacitación debe cubrir, entre otros, los siguientes temas fundamentales, enfocando los mismos dependiendo de las características del grupo objetivo de la misma:</w:t>
      </w:r>
    </w:p>
    <w:p w14:paraId="6938A036"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C672503"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Sensibilización en la cultura corporativa a la prevención de LD/FT/FPADM;</w:t>
      </w:r>
    </w:p>
    <w:p w14:paraId="5C03C56C"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Normas legales y conceptos fundamentales de LD/FT/FPADM,</w:t>
      </w:r>
    </w:p>
    <w:p w14:paraId="17B99834"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Estructura organizacional y de control de la Persona Obligada para la prevención de LD/FT/FPADM,</w:t>
      </w:r>
    </w:p>
    <w:p w14:paraId="4610BFCF"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Conocimiento de los clientes, contrapartes y del mercado;</w:t>
      </w:r>
    </w:p>
    <w:p w14:paraId="0B9B3587"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Aplicación de las políticas y procedimientos para la prevención del LD/FT/FPADM;</w:t>
      </w:r>
    </w:p>
    <w:p w14:paraId="5C6140E7"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Conocimiento de señales de alerta de LD/FT/FPADM;</w:t>
      </w:r>
    </w:p>
    <w:p w14:paraId="1A03B4FD"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Detección de transacciones inusuales y reporte de transacciones sospechosas;</w:t>
      </w:r>
    </w:p>
    <w:p w14:paraId="1B4303F0"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Administración de la información, y</w:t>
      </w:r>
    </w:p>
    <w:p w14:paraId="74FAC03D"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Conocimiento del empleado.</w:t>
      </w:r>
    </w:p>
    <w:p w14:paraId="52ADCAE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04D4180" w14:textId="6399866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capacitación al personal contratado y subcontratado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podrá realizarse de forma externa, asistiendo a eventos formativos o contratando facilitadores expertos en la materia, ya </w:t>
        <w:lastRenderedPageBreak/>
        <w:t xml:space="preserve">sea que esta se lleve a cabo de forma presencial o virtual. También podrá realizarse de forma interna brindándola el Oficial de Cumplimiento. En todo caso, se buscará recibir formación de calidad, con contenidos actualizados y con la finalidad de que el personal obtenga los conocimientos necesarios para prevenir el LD/FT/FPADM en </w:t>
      </w:r>
      <w:r>
        <w:rPr>
          <w:rFonts w:ascii="Calibri" w:eastAsia="Calibri" w:hAnsi="Calibri" w:cs="Calibri"/>
          <w:b/>
          <w:color w:val="1A1A1A"/>
          <w:sz w:val="24"/>
          <w:szCs w:val="24"/>
        </w:rPr>
        <w:t>Propi</w:t>
      </w:r>
      <w:r>
        <w:rPr>
          <w:rFonts w:ascii="Calibri" w:eastAsia="Calibri" w:hAnsi="Calibri" w:cs="Calibri"/>
          <w:color w:val="1A1A1A"/>
          <w:sz w:val="24"/>
          <w:szCs w:val="24"/>
        </w:rPr>
        <w:t>.</w:t>
      </w:r>
    </w:p>
    <w:p w14:paraId="2BA89B5E"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ED6BFF0"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Toda capacitación facilitada al personal deberá quedar documentada en un expediente, ya sea este de manera física o digital que incluya el material compartido, los diplomas de participación o las listas de participación del personal debidamente firmadas “LISTA DE ASISTENCIA DE CAPACITACIÓN” (formato incluido en el Anexo de documentos del Sistema). Las listas de asistencia deberán contener: lugar y fecha del evento, nombre y firma del facilitador, nombre de la capacitación, nombre del empleado, cargo y firma.</w:t>
      </w:r>
    </w:p>
    <w:p w14:paraId="6F8E3E5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EFB705E"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Luego de concluir con su proceso de capacitación anual el personal de Propi deberá someterse a una prueba de conocimientos que se realizará de manera electrónica, como mecanismo idóneo para verificar que ha adquirido las competencias según su puesto o cargo (artículo 12, literal b, del Decreto 15-2026). Del resultado de esta deberá guardarse respaldo físico y digital.</w:t>
      </w:r>
    </w:p>
    <w:p w14:paraId="4F12A648"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981F3B9" w14:textId="77777777" w:rsidR="001815AC" w:rsidRPr="0057078F" w:rsidRDefault="00000000" w:rsidP="0057078F">
      <w:pPr>
        <w:numPr>
          <w:ilvl w:val="0"/>
          <w:numId w:val="15"/>
        </w:numPr>
        <w:pBdr>
          <w:top w:val="nil"/>
          <w:left w:val="nil"/>
          <w:bottom w:val="nil"/>
          <w:right w:val="nil"/>
          <w:between w:val="nil"/>
        </w:pBdr>
        <w:spacing w:after="0" w:line="276" w:lineRule="auto"/>
        <w:jc w:val="both"/>
        <w:rPr>
          <w:rFonts w:ascii="Calibri" w:eastAsia="Calibri" w:hAnsi="Calibri" w:cs="Calibri"/>
          <w:b/>
          <w:color w:val="1A1A1A"/>
          <w:sz w:val="24"/>
          <w:szCs w:val="24"/>
        </w:rPr>
      </w:pPr>
      <w:r>
        <w:rPr>
          <w:rFonts w:ascii="Calibri" w:eastAsia="Calibri" w:hAnsi="Calibri" w:cs="Calibri"/>
          <w:b/>
          <w:color w:val="1A1A1A"/>
          <w:sz w:val="24"/>
          <w:szCs w:val="24"/>
        </w:rPr>
        <w:t xml:space="preserve">INDUCCIÓN </w:t>
      </w:r>
    </w:p>
    <w:p w14:paraId="296FB256" w14:textId="1E5795AC"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Todo el personal de nuevo ingreso, contratado o subcontratado, deberá recibir la inducción sobre prevención de LD/FT/FPADM durante los 30 días posteriores a su ingreso. El área de recursos humanos o su equivalente, en coordinación con el Oficial de Cumplimiento, son los encargados de programar la inducción a los empleados y personal subcontratado. </w:t>
      </w:r>
    </w:p>
    <w:p w14:paraId="3D19549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FCE623F"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En el proceso de inducción al personal de nuevo ingreso, se debe cumplir con los siguientes aspectos:</w:t>
      </w:r>
    </w:p>
    <w:p w14:paraId="7B9BD25D" w14:textId="77777777" w:rsidR="001815AC" w:rsidRPr="0057078F" w:rsidRDefault="00000000" w:rsidP="0057078F">
      <w:pPr>
        <w:numPr>
          <w:ilvl w:val="0"/>
          <w:numId w:val="25"/>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Presentación de generalidades y consecuencias de los delitos de LD/FT/FPADM y sensibilización de la cultura de prevención de estos.</w:t>
      </w:r>
    </w:p>
    <w:p w14:paraId="23E244EE" w14:textId="77777777" w:rsidR="001815AC" w:rsidRPr="0057078F" w:rsidRDefault="00000000" w:rsidP="0057078F">
      <w:pPr>
        <w:numPr>
          <w:ilvl w:val="0"/>
          <w:numId w:val="25"/>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Conocimiento de las políticas y procedimientos para la prevención, control, detección de transacciones inusuales.</w:t>
      </w:r>
    </w:p>
    <w:p w14:paraId="3A7B1DC7"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032216E"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facilitar la capacitación, se podrán utilizar los diversos recursos visuales, audiovisuales, electrónicos, etc., que se tengan al alcance. </w:t>
      </w:r>
    </w:p>
    <w:p w14:paraId="12452698"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E392D09"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lastRenderedPageBreak/>
        <w:t xml:space="preserve">Toda capacitación facilitada al personal de nuevo ingreso deberá quedar documentada en un expediente, ya sea este de manera física o digital que incluya el material compartido, los diplomas de participación o las listas de participación del personal debidamente firmadas “LISTA DE ASISTENCIA DE CAPACITACIÓN” (formato incluido en el Anexo de documentos del Sistema). Las listas de asistencia deberán contener: lugar y fecha del evento, nombre y firma del facilitador, nombre de la capacitación, nombre del empleado, cargo y firma.</w:t>
      </w:r>
    </w:p>
    <w:p w14:paraId="046DAC27"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2819553"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Luego de finalizado el proceso de inducción el nuevo personal deberá someterse a una prueba de conocimientos, de las políticas y procedimientos para la prevención, control, detección de transacciones inusuales. Del resultado de esta deberá guardarse respaldo físico y digital.</w:t>
      </w:r>
    </w:p>
    <w:p w14:paraId="304A6FF0" w14:textId="77777777" w:rsidR="001815AC" w:rsidRPr="0057078F" w:rsidRDefault="00000000" w:rsidP="0057078F">
      <w:pPr>
        <w:pStyle w:val="Heading1"/>
        <w:spacing w:line="276" w:lineRule="auto"/>
        <w:rPr>
          <w:rFonts w:cs="Calibri"/>
        </w:rPr>
      </w:pPr>
      <w:bookmarkStart w:id="1657" w:name="_Toc176997923"/>
      <w:r>
        <w:rPr>
          <w:rFonts w:cs="Calibri"/>
        </w:rPr>
        <w:t>ÓRGANOS DE CONTROL</w:t>
      </w:r>
      <w:bookmarkEnd w:id="1657"/>
    </w:p>
    <w:p w14:paraId="32B51B69" w14:textId="77777777" w:rsidR="001815AC" w:rsidRPr="0057078F" w:rsidRDefault="00000000" w:rsidP="0057078F">
      <w:pPr>
        <w:pStyle w:val="Heading2"/>
        <w:numPr>
          <w:ilvl w:val="1"/>
          <w:numId w:val="16"/>
        </w:numPr>
        <w:spacing w:line="276" w:lineRule="auto"/>
        <w:rPr>
          <w:rFonts w:cs="Calibri"/>
        </w:rPr>
      </w:pPr>
      <w:bookmarkStart w:id="1658" w:name="_Toc176997924"/>
      <w:r>
        <w:rPr>
          <w:rFonts w:cs="Calibri"/>
        </w:rPr>
        <w:t>AUDITORÍA INTERNA</w:t>
      </w:r>
      <w:bookmarkEnd w:id="1658"/>
    </w:p>
    <w:p w14:paraId="1BC2023B" w14:textId="74DE1756" w:rsidR="0057078F"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auditoría interna, o quien ejecute funciones similares dentro de Propi, deberá elaborar y ejecutar anualmente un programa de revisión interna del Programa de Prevención LD/FT/FPADM, en el cual se evaluará el cumplimiento y la efectividad de la ejecución de las políticas y procedimientos establecidos en el presente Manual, en sus documentos complementarios y en la regulación vigente (artículo 15 del Decreto 15-2026).</w:t>
      </w:r>
    </w:p>
    <w:p w14:paraId="5C3E6FF1" w14:textId="12DB83C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bookmarkStart w:id="1662" w:name="_heading=h.1opuj5n" w:colFirst="0" w:colLast="0"/>
      <w:bookmarkEnd w:id="1662"/>
      <w:r>
        <w:rPr>
          <w:rFonts w:ascii="Calibri" w:eastAsia="Calibri" w:hAnsi="Calibri" w:cs="Calibri"/>
          <w:color w:val="1A1A1A"/>
          <w:sz w:val="24"/>
          <w:szCs w:val="24"/>
        </w:rPr>
        <w:t xml:space="preserve">Se deberá emitir opinión respecto de la idoneidad y el funcionamiento de las políticas y procedimientos adoptados para prevenir los delitos de LD/FT/FPADM indicando las deficiencias u omisiones materialmente significativas, las recomendaciones impartidas para superarlas y las medidas correctivas adoptadas. El resultado de la revisión deberá comunicarse al Oficial de Cumplimiento para su debido seguimiento.</w:t>
      </w:r>
    </w:p>
    <w:p w14:paraId="6259606B" w14:textId="77777777" w:rsidR="001815AC" w:rsidRPr="0057078F" w:rsidRDefault="00000000" w:rsidP="0057078F">
      <w:pPr>
        <w:pStyle w:val="Heading2"/>
        <w:numPr>
          <w:ilvl w:val="1"/>
          <w:numId w:val="16"/>
        </w:numPr>
        <w:spacing w:line="276" w:lineRule="auto"/>
        <w:rPr>
          <w:rFonts w:cs="Calibri"/>
        </w:rPr>
      </w:pPr>
      <w:bookmarkStart w:id="1667" w:name="_Toc176997925"/>
      <w:r>
        <w:rPr>
          <w:rFonts w:cs="Calibri"/>
        </w:rPr>
        <w:t xml:space="preserve">AUDITORÍA EXTERNA</w:t>
      </w:r>
      <w:bookmarkEnd w:id="1667"/>
    </w:p>
    <w:p w14:paraId="19D4C9FB" w14:textId="4F63F037" w:rsidR="001815AC" w:rsidRPr="0057078F" w:rsidRDefault="0057078F" w:rsidP="0057078F">
      <w:pPr>
        <w:spacing w:before="4" w:line="276" w:lineRule="auto"/>
        <w:ind w:right="140"/>
        <w:jc w:val="both"/>
        <w:rPr>
          <w:rFonts w:ascii="Calibri" w:eastAsia="Calibri" w:hAnsi="Calibri" w:cs="Calibri"/>
          <w:color w:val="1A1A1A"/>
          <w:sz w:val="24"/>
          <w:szCs w:val="24"/>
        </w:rPr>
      </w:pPr>
      <w:r>
        <w:rPr>
          <w:rFonts w:ascii="Calibri" w:eastAsia="Calibri" w:hAnsi="Calibri" w:cs="Calibri"/>
          <w:color w:val="1A1A1A"/>
          <w:sz w:val="24"/>
          <w:szCs w:val="24"/>
          <w:lang w:val="es-ES"/>
        </w:rPr>
        <w:t xml:space="preserve">Sin perjuicio de que el informe de aseguramiento de auditoría externa es obligatorio únicamente para las entidades sujetas a la vigilancia e inspección de la Superintendencia de Bancos, Propi, como práctica propia, podrá contratar una auditoría externa anual o a auditores especializados de su elección para evaluar el cumplimiento y la efectividad de sus Programas de Prevención LD/FT/FPADM (artículo 15 del Decreto 15-2026). El Oficial de Cumplimiento será responsable de coordinar dicha evaluación y de dar seguimiento a sus recomendaciones.</w:t>
      </w:r>
    </w:p>
    <w:p w14:paraId="1355653F" w14:textId="77777777" w:rsidR="001815AC" w:rsidRPr="0057078F" w:rsidRDefault="00000000" w:rsidP="0057078F">
      <w:pPr>
        <w:pStyle w:val="Heading1"/>
        <w:spacing w:line="276" w:lineRule="auto"/>
        <w:rPr>
          <w:rFonts w:cs="Calibri"/>
        </w:rPr>
      </w:pPr>
      <w:bookmarkStart w:id="1676" w:name="_Toc176997926"/>
      <w:r>
        <w:rPr>
          <w:rFonts w:cs="Calibri"/>
        </w:rPr>
        <w:lastRenderedPageBreak/>
        <w:t>SANCIONES</w:t>
      </w:r>
      <w:bookmarkEnd w:id="1676"/>
      <w:r>
        <w:rPr>
          <w:rFonts w:cs="Calibri"/>
        </w:rPr>
        <w:t xml:space="preserve"> </w:t>
      </w:r>
    </w:p>
    <w:p w14:paraId="4E19EB2B"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677" w:name="_heading=h.206ipza" w:colFirst="0" w:colLast="0"/>
      <w:bookmarkEnd w:id="1677"/>
      <w:r>
        <w:rPr>
          <w:rFonts w:ascii="Calibri" w:eastAsia="Calibri" w:hAnsi="Calibri" w:cs="Calibri"/>
          <w:color w:val="1A1A1A"/>
          <w:sz w:val="24"/>
          <w:szCs w:val="24"/>
        </w:rPr>
        <w:t xml:space="preserve">Los funcionarios o empleados que incurran en conductas de incumplimiento o violación a obligaciones y/o prohibiciones contenidas en el presente Manual y demás normativa, se harán acreedores a las siguientes sanciones de acuerdo con la gravedad del caso: </w:t>
      </w:r>
    </w:p>
    <w:p w14:paraId="535F9CD3" w14:textId="77777777" w:rsidR="001815AC" w:rsidRPr="0057078F" w:rsidRDefault="00000000" w:rsidP="0057078F">
      <w:pPr>
        <w:spacing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 xml:space="preserve">a) Amonestación verbal. Esta será aplicable por la falta de cumplimiento, el cumplimiento parcial o extemporáneo de cualquiera de las responsabilidades establecidas en el presente Manual, políticas o procedimientos.</w:t>
      </w:r>
    </w:p>
    <w:p w14:paraId="16101A14" w14:textId="77777777" w:rsidR="001815AC" w:rsidRPr="0057078F" w:rsidRDefault="00000000" w:rsidP="0057078F">
      <w:pPr>
        <w:spacing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 xml:space="preserve">b) Amonestación escrita. Esta será aplicable luego de tres amonestaciones verbales. </w:t>
      </w:r>
    </w:p>
    <w:p w14:paraId="02C5396D" w14:textId="77777777" w:rsidR="001815AC" w:rsidRPr="0057078F" w:rsidRDefault="00000000" w:rsidP="0057078F">
      <w:pPr>
        <w:spacing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c) Suspensión. Esta será aplicable por la reincidencia de amonestaciones escritas.</w:t>
      </w:r>
    </w:p>
    <w:p w14:paraId="6338BB00" w14:textId="62B84EA5" w:rsidR="001815AC" w:rsidRPr="0057078F" w:rsidRDefault="00000000" w:rsidP="0057078F">
      <w:pPr>
        <w:pBdr>
          <w:top w:val="nil"/>
          <w:left w:val="nil"/>
          <w:bottom w:val="nil"/>
          <w:right w:val="nil"/>
          <w:between w:val="nil"/>
        </w:pBdr>
        <w:spacing w:after="0"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 xml:space="preserve">d) Terminación del contrato individual de trabajo. Esta será aplicable cuando la falta de cumplimiento sea considerada muy grave o cuando, luego de una suspensión, el empleado reincida en los incumplimientos, conforme al Reglamento Interno de Trabajo y al Código de Trabajo, previa recomendación del Oficial de Cumplimiento.</w:t>
      </w:r>
    </w:p>
    <w:p w14:paraId="69E65597" w14:textId="77777777" w:rsidR="0057078F" w:rsidRPr="0057078F" w:rsidRDefault="0057078F" w:rsidP="0057078F">
      <w:pPr>
        <w:pBdr>
          <w:top w:val="nil"/>
          <w:left w:val="nil"/>
          <w:bottom w:val="nil"/>
          <w:right w:val="nil"/>
          <w:between w:val="nil"/>
        </w:pBdr>
        <w:spacing w:after="0" w:line="276" w:lineRule="auto"/>
        <w:ind w:left="708"/>
        <w:jc w:val="both"/>
        <w:rPr>
          <w:rFonts w:ascii="Calibri" w:eastAsia="Calibri" w:hAnsi="Calibri" w:cs="Calibri"/>
          <w:color w:val="1A1A1A"/>
          <w:sz w:val="24"/>
          <w:szCs w:val="24"/>
        </w:rPr>
      </w:pPr>
    </w:p>
    <w:p w14:paraId="126AD5E2" w14:textId="77777777" w:rsidR="001815AC" w:rsidRPr="0057078F" w:rsidRDefault="00000000" w:rsidP="0057078F">
      <w:pPr>
        <w:pBdr>
          <w:top w:val="nil"/>
          <w:left w:val="nil"/>
          <w:bottom w:val="nil"/>
          <w:right w:val="nil"/>
          <w:between w:val="nil"/>
        </w:pBdr>
        <w:spacing w:after="0"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 xml:space="preserve">La terminación del contrato individual de trabajo por incumplimiento de las presentes obligaciones, opera sin perjuicio de las acciones penales y civiles que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pueda iniciar, amparándose en la causal respectiva.</w:t>
      </w:r>
    </w:p>
    <w:p>
      <w:pPr>
        <w:pBdr>
          <w:top w:val="nil"/>
          <w:left w:val="nil"/>
          <w:bottom w:val="nil"/>
          <w:right w:val="nil"/>
          <w:between w:val="nil"/>
        </w:pBdr>
        <w:spacing w:after="0"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 xml:space="preserve">El régimen disciplinario aplicable al personal se rige por el Reglamento Interno de Trabajo de Propi, el cual desarrolla las obligaciones laborales en materia de prevención del LD/FT/FPADM. Sin perjuicio de lo anterior, el incumplimiento de las obligaciones del Decreto 15-2026 expone a la Sociedad a las sanciones administrativas previstas en sus artículos 65 al 72 (amonestación o multa de US$ 500.00 a US$ 300,000.00, agravada en caso de ocultamiento, y requerimiento de planes de acción), sin perjuicio de las responsabilidades penales y civiles correspondientes.</w:t>
      </w:r>
    </w:p>
    <w:p w14:paraId="279BF248" w14:textId="77777777" w:rsidR="001815AC" w:rsidRPr="0057078F" w:rsidRDefault="00000000" w:rsidP="0057078F">
      <w:pPr>
        <w:pStyle w:val="Heading1"/>
        <w:spacing w:line="276" w:lineRule="auto"/>
        <w:rPr>
          <w:rFonts w:cs="Calibri"/>
        </w:rPr>
      </w:pPr>
      <w:bookmarkStart w:id="1682" w:name="_Toc176997927"/>
      <w:r>
        <w:rPr>
          <w:rFonts w:cs="Calibri"/>
        </w:rPr>
        <w:t>DIVULGACIÓN</w:t>
      </w:r>
      <w:bookmarkEnd w:id="1682"/>
    </w:p>
    <w:p w14:paraId="24AA69F5"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8AF9F84"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presente Manual o sus modificaciones se darán a conocer a todos los funcionarios, empleados, directores, agentes, corredores e intermediarios de Propi, quienes firmarán constancia de su conocimiento, de igual forma, se pondrá a disposición de las personas antes mencionadas para cuando deseen consultarlo. </w:t>
      </w:r>
    </w:p>
    <w:p w14:paraId="448757AE" w14:textId="77777777" w:rsidR="001815AC" w:rsidRPr="0057078F" w:rsidRDefault="00000000" w:rsidP="0057078F">
      <w:pPr>
        <w:pStyle w:val="Heading1"/>
        <w:spacing w:line="276" w:lineRule="auto"/>
        <w:rPr>
          <w:rFonts w:cs="Calibri"/>
        </w:rPr>
      </w:pPr>
      <w:bookmarkStart w:id="1683" w:name="_Toc176997928"/>
      <w:r>
        <w:rPr>
          <w:rFonts w:cs="Calibri"/>
        </w:rPr>
        <w:t>VIGENCIA Y MODIFICACIONES</w:t>
      </w:r>
      <w:bookmarkEnd w:id="1683"/>
      <w:r>
        <w:rPr>
          <w:rFonts w:cs="Calibri"/>
        </w:rPr>
        <w:t xml:space="preserve"> </w:t>
      </w:r>
    </w:p>
    <w:p w14:paraId="173B880E" w14:textId="7BA3DEEF"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presente Manual entrará en vigor a partir de la fecha de su aprobación por el órgano de dirección superior de Propi. Su contenido será revisado como mínimo cada año a partir de dicha fecha, así como cuando existan cambios relevantes en el modelo operativo o de negocios, cuando se emita el Reglamento del Decreto 15-2026 o disposiciones de la Superintendencia de Bancos a través de la IVE que lo hagan necesario y, en general, ante cualquier modificación de la regulación en materia de prevención del LD/FT/FPADM.</w:t>
      </w:r>
    </w:p>
    <w:p w14:paraId="61DF2C65"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9B6F815" w14:textId="4C84C5EB"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Oficial de Cumplimiento será responsable de la custodia del documento original y de su administración, y estará facultado para proponer cambios, modificaciones y actualizaciones, las cuales deberán ser aprobadas por el órgano de dirección superior (artículo 12 del Decreto 15-2026). Las políticas, procedimientos, formatos y demás documentos complementarios que integran el Sistema de Prevención son documentos independientes: el Oficial de Cumplimiento propondrá su emisión y actualización; las políticas y la matriz de riesgo consolidada con su metodología serán aprobadas por el órgano de dirección superior, y los procedimientos, manuales de procedimiento operativo y formatos por el Oficial de Cumplimiento con el visto bueno de la gerencia general, sin que ello requiera modificar este Manual, siempre que no lo contradigan; en caso de conflicto prevalece el Manual. La divulgación de este Manual y de sus documentos complementarios al personal será responsabilidad del Oficial de Cumplimiento en coordinación con Recursos Humanos, o quien ejecute funciones similares. El Oficial de Cumplimiento remitirá a la Superintendencia de Bancos, a través de la Intendencia de Verificación Especial, por el Portal de Personas Obligadas, el presente Manual aprobado y cada una de sus actualizaciones, a más tardar dentro del mes calendario siguiente a su aprobación, salvo que la reglamentación del Decreto 15-2026 o la IVE dispongan una forma o plazo distintos.</w:t>
      </w:r>
    </w:p>
    <w:p w14:paraId="7F562D0F"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BCB9C50" w14:textId="78E39C61"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694" w:name="_heading=h.3ygebqi" w:colFirst="0" w:colLast="0"/>
      <w:bookmarkEnd w:id="1694"/>
      <w:r>
        <w:rPr>
          <w:rFonts w:ascii="Calibri" w:eastAsia="Calibri" w:hAnsi="Calibri" w:cs="Calibri"/>
          <w:color w:val="1A1A1A"/>
          <w:sz w:val="24"/>
          <w:szCs w:val="24"/>
        </w:rPr>
        <w:t xml:space="preserve">Fecha de autorización: ____/____/______</w:t>
      </w:r>
    </w:p>
    <w:p w14:paraId="6C5AEF20" w14:textId="77777777" w:rsid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5125B20" w14:textId="77777777" w:rsidR="00AD6888" w:rsidRDefault="00AD6888"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07911B3" w14:textId="77777777" w:rsid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D38750A" w14:textId="0DC317EA"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Firma: ______________________</w:t>
      </w:r>
    </w:p>
    <w:p w14:paraId="24CB4C9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Nombre y cargo: ______________________________</w:t>
      </w:r>
    </w:p>
    <w:p>
      <w:pPr>
        <w:pStyle w:val="Heading1"/>
        <w:spacing w:line="276" w:lineRule="auto"/>
        <w:rPr>
          <w:rFonts w:cs="Calibri"/>
        </w:rPr>
      </w:pPr>
      <w:r>
        <w:rPr>
          <w:rFonts w:cs="Calibri"/>
        </w:rPr>
        <w:t xml:space="preserve">ANEXO — DOCUMENTOS QUE INTEGRAN EL SISTEMA DE PREVENCIÓN</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Los siguientes documentos desarrollan este Manual, son independientes de él y se aplican en su versión vigente. Las políticas y la matriz de riesgo consolidada con su metodología son aprobadas por el órgano de dirección superior (artículos 8 y 12 del Decreto 15-2026); los procedimientos, manuales de procedimiento operativo y formatos, por el Oficial de Cumplimiento con el visto bueno de la gerencia general. En ningún caso pueden contradecir lo dispuesto en este Manual, el cual prevalece; toda contradicción se resolverá a favor del Manual y dará lugar a la corrección inmediata del documento complementario.</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1. Política de Identificación y Verificación del Beneficiario Final.</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2. Política de Personas Expuestas Políticamente, incluida la debida diligencia para clientes PEP y sus personas vinculadas.</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3. Política de Conocimiento del Cliente (KYC), incluidas la debida diligencia simplificada y la estándar, la documentación mínima por tipo de cliente y los parámetros de valor y perfil para la asignación del nivel de diligencia.</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4. Política de Debida Diligencia Reforzada (EDD).</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5. Política de Conocimiento de Proveedores, incluida la documentación mínima por tipo de proveedor y los umbrales de compra única.</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6. Matriz de riesgo consolidada y su metodología (Anexo de este Manual; aprobación reservada al órgano de dirección superior).</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7. Procedimiento de Reportes: Reporte de Transacción Sospechosa, tentativa, transacciones en efectivo, reporte mensual sectorial y tablero de monitoreo, con sus plazos internos y umbrales.</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8. Procedimiento de inmovilización y reporte ante coincidencia en listas del Consejo de Seguridad de las Naciones Unidas.</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9. Procedimiento de aprobación de clientes Personas Expuestas Políticamente y de riesgo alto.</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10. Procedimiento de Reporte Interno de Transacciones Inusuales o Sospechosas.</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11. Manuales de procedimiento operativo (onboarding, aprobación y escalamiento).</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12. Reglamento Interno de Trabajo y política de recursos humanos (reclutamiento, selección y contratación).</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13. Código de Ética.</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14. Formatos: Declaración Jurada de Beneficiario Final; Declaración Jurada de Persona Expuesta Políticamente; formulario de creación de expediente del cliente establecido por la IVE (IVE-RE-23 o el que lo sustituya); Formulario Conoce a tu Cliente; Formulario Conoce a tu Proveedor; Formulario de Reporte Interno; Lista de Asistencia de Capacitación; texto modelo de comunicación de rechazo o terminación.</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15. Cláusulas contractuales modelo: manifestación de Persona Obligada, terminación por incumplimiento de los requerimientos de cumplimiento normativo y colaboración con la IVE.</w:t>
      </w:r>
    </w:p>
    <w:p>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Oficial de Cumplimiento mantendrá actualizado el registro de la versión vigente de cada documento complementario y de la fecha de su aprobación.</w:t>
      </w:r>
    </w:p>
    <w:sectPr w:rsidR="001815AC" w:rsidRPr="0057078F">
      <w:headerReference w:type="default" r:id="rId13"/>
      <w:footerReference w:type="default" r:id="rId14"/>
      <w:pgSz w:w="12240" w:h="15840"/>
      <w:pgMar w:top="1276" w:right="1325" w:bottom="1417" w:left="1701" w:header="708" w:footer="53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AADFA5" w14:textId="77777777" w:rsidR="00A037D5" w:rsidRDefault="00A037D5">
      <w:pPr>
        <w:spacing w:after="0" w:line="240" w:lineRule="auto"/>
      </w:pPr>
      <w:r>
        <w:separator/>
      </w:r>
    </w:p>
  </w:endnote>
  <w:endnote w:type="continuationSeparator" w:id="0">
    <w:p w14:paraId="7F975B01" w14:textId="77777777" w:rsidR="00A037D5" w:rsidRDefault="00A03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embedRegular r:id="rId1" w:fontKey="{54F20FB3-F0AE-4E4C-B87B-65D6ABEA2D9E}"/>
  </w:font>
  <w:font w:name="Courier New">
    <w:panose1 w:val="02070309020205020404"/>
    <w:charset w:val="00"/>
    <w:family w:val="modern"/>
    <w:pitch w:val="fixed"/>
    <w:sig w:usb0="E0002EFF" w:usb1="C0007843" w:usb2="00000009" w:usb3="00000000" w:csb0="000001FF" w:csb1="00000000"/>
    <w:embedRegular r:id="rId2" w:fontKey="{9E88A604-AFD9-C844-819B-CCD6A4503E69}"/>
  </w:font>
  <w:font w:name="Times New Roman">
    <w:panose1 w:val="02020603050405020304"/>
    <w:charset w:val="00"/>
    <w:family w:val="roman"/>
    <w:pitch w:val="variable"/>
    <w:sig w:usb0="E0002EFF" w:usb1="C000785B" w:usb2="00000009" w:usb3="00000000" w:csb0="000001FF" w:csb1="00000000"/>
    <w:embedRegular r:id="rId3" w:fontKey="{5B9C7475-C848-2A43-9610-A379C3A5FF04}"/>
    <w:embedBold r:id="rId4" w:fontKey="{B8F95CF3-D68A-9644-9C9A-139C4CC006A0}"/>
    <w:embedItalic r:id="rId5" w:fontKey="{A98D8EF2-5E6F-DF4C-941D-D9CB2B88FFBB}"/>
    <w:embedBoldItalic r:id="rId6" w:fontKey="{D431B1A1-0EBB-9E46-AF80-4C4F7E514B8B}"/>
  </w:font>
  <w:font w:name="Symbol">
    <w:panose1 w:val="05050102010706020507"/>
    <w:charset w:val="02"/>
    <w:family w:val="decorative"/>
    <w:pitch w:val="variable"/>
    <w:sig w:usb0="00000000" w:usb1="10000000" w:usb2="00000000" w:usb3="00000000" w:csb0="80000000" w:csb1="00000000"/>
    <w:embedRegular r:id="rId7" w:fontKey="{382BEA38-26BA-1F4F-B3DC-3790A0914A9F}"/>
  </w:font>
  <w:font w:name="Wingdings">
    <w:panose1 w:val="05000000000000000000"/>
    <w:charset w:val="02"/>
    <w:family w:val="auto"/>
    <w:pitch w:val="variable"/>
    <w:sig w:usb0="00000000" w:usb1="10000000" w:usb2="00000000" w:usb3="00000000" w:csb0="80000000" w:csb1="00000000"/>
    <w:embedRegular r:id="rId8" w:fontKey="{E5BFE077-99C3-EF4A-89C5-6D0D9FEB4738}"/>
  </w:font>
  <w:font w:name="Calibri">
    <w:panose1 w:val="020F0502020204030204"/>
    <w:charset w:val="00"/>
    <w:family w:val="swiss"/>
    <w:pitch w:val="variable"/>
    <w:sig w:usb0="E4002EFF" w:usb1="C000247B" w:usb2="00000009" w:usb3="00000000" w:csb0="000001FF" w:csb1="00000000"/>
    <w:embedRegular r:id="rId9" w:fontKey="{8A81E99A-74C7-BB4E-B301-60067085547F}"/>
    <w:embedBold r:id="rId10" w:fontKey="{6C29BA8D-DE44-9146-9D35-FB7FE8009A8A}"/>
  </w:font>
  <w:font w:name="Corbel">
    <w:panose1 w:val="020B0503020204020204"/>
    <w:charset w:val="00"/>
    <w:family w:val="swiss"/>
    <w:pitch w:val="variable"/>
    <w:sig w:usb0="A00002EF" w:usb1="4000A44B" w:usb2="00000000" w:usb3="00000000" w:csb0="0000019F" w:csb1="00000000"/>
    <w:embedRegular r:id="rId11" w:fontKey="{B43BAF20-9A9F-0844-8260-1EE32DB7419D}"/>
    <w:embedBold r:id="rId12" w:fontKey="{2CF83CB9-AEC0-1144-8904-6AFE9881C469}"/>
    <w:embedItalic r:id="rId13" w:fontKey="{0E48845B-1526-1E44-AB90-9B81D1AE5E6E}"/>
    <w:embedBoldItalic r:id="rId14" w:fontKey="{3023BC9A-A136-284B-8359-C04B36D05EE9}"/>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15" w:fontKey="{E99304D5-E812-BB49-B3D0-BD0669C39DB9}"/>
  </w:font>
  <w:font w:name="Arial">
    <w:panose1 w:val="020B0604020202020204"/>
    <w:charset w:val="00"/>
    <w:family w:val="swiss"/>
    <w:pitch w:val="variable"/>
    <w:sig w:usb0="E0002EFF" w:usb1="C000785B" w:usb2="00000009" w:usb3="00000000" w:csb0="000001FF" w:csb1="00000000"/>
    <w:embedRegular r:id="rId16" w:fontKey="{4079983A-5EC7-DC48-A476-06ACB22D1A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B4441" w14:textId="77777777" w:rsidR="001815AC"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libri" w:eastAsia="Calibri" w:hAnsi="Calibri" w:cs="Calibri"/>
        <w:color w:val="000000"/>
        <w:sz w:val="20"/>
        <w:szCs w:val="20"/>
      </w:rPr>
      <w:t>Este documento es propiedad de Propi Tech por lo que está terminantemente prohibida la reproducción total o parcial del mismo.</w:t>
    </w:r>
  </w:p>
  <w:p w14:paraId="26C61A14" w14:textId="77777777" w:rsidR="001815AC"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E3C2C">
      <w:rPr>
        <w:noProof/>
        <w:color w:val="000000"/>
      </w:rPr>
      <w:t>1</w:t>
    </w:r>
    <w:r>
      <w:rPr>
        <w:color w:val="000000"/>
      </w:rPr>
      <w:fldChar w:fldCharType="end"/>
    </w:r>
  </w:p>
  <w:p w14:paraId="18E3280A" w14:textId="77777777" w:rsidR="001815AC" w:rsidRDefault="001815A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D62DFE" w14:textId="77777777" w:rsidR="00A037D5" w:rsidRDefault="00A037D5">
      <w:pPr>
        <w:spacing w:after="0" w:line="240" w:lineRule="auto"/>
      </w:pPr>
      <w:r>
        <w:separator/>
      </w:r>
    </w:p>
  </w:footnote>
  <w:footnote w:type="continuationSeparator" w:id="0">
    <w:p w14:paraId="47F14C46" w14:textId="77777777" w:rsidR="00A037D5" w:rsidRDefault="00A037D5">
      <w:pPr>
        <w:spacing w:after="0" w:line="240" w:lineRule="auto"/>
      </w:pPr>
      <w:r>
        <w:continuationSeparator/>
      </w:r>
    </w:p>
  </w:footnote>
  <w:footnote w:id="1">
    <w:p w14:paraId="4B78416C" w14:textId="77777777" w:rsidR="001151C3" w:rsidRPr="001151C3" w:rsidRDefault="001151C3" w:rsidP="001151C3">
      <w:pPr>
        <w:spacing w:after="0" w:line="240" w:lineRule="auto"/>
        <w:rPr>
          <w:rFonts w:ascii="Calibri" w:eastAsia="Calibri" w:hAnsi="Calibri" w:cs="Calibri"/>
          <w:color w:val="1A1A1A"/>
          <w:sz w:val="16"/>
          <w:szCs w:val="16"/>
        </w:rPr>
      </w:pPr>
      <w:r>
        <w:rPr>
          <w:rStyle w:val="FootnoteReference"/>
        </w:rPr>
        <w:footnoteRef/>
      </w:r>
      <w:r>
        <w:t xml:space="preserve"> </w:t>
      </w:r>
      <w:r w:rsidRPr="001151C3">
        <w:rPr>
          <w:rFonts w:ascii="Calibri" w:eastAsia="Calibri" w:hAnsi="Calibri" w:cs="Calibri"/>
          <w:color w:val="1A1A1A"/>
          <w:sz w:val="16"/>
          <w:szCs w:val="16"/>
        </w:rPr>
        <w:t>(*) El comprobante de domicilio sólo se requiere cuando la identificación que se obtenga del Proveedor no cuente con domicilio o que éste no coincida con el señalado en el contrato.</w:t>
      </w:r>
    </w:p>
    <w:p w14:paraId="7A9967C6" w14:textId="31CC30C1" w:rsidR="001151C3" w:rsidRDefault="001151C3" w:rsidP="001151C3">
      <w:pPr>
        <w:pStyle w:val="FootnoteText"/>
        <w:rPr>
          <w:rFonts w:ascii="Calibri" w:eastAsia="Calibri" w:hAnsi="Calibri" w:cs="Calibri"/>
          <w:color w:val="1A1A1A"/>
          <w:sz w:val="16"/>
          <w:szCs w:val="16"/>
        </w:rPr>
      </w:pPr>
      <w:r w:rsidRPr="001151C3">
        <w:rPr>
          <w:rFonts w:ascii="Calibri" w:eastAsia="Calibri" w:hAnsi="Calibri" w:cs="Calibri"/>
          <w:color w:val="1A1A1A"/>
          <w:sz w:val="16"/>
          <w:szCs w:val="16"/>
        </w:rPr>
        <w:t xml:space="preserve">(**) </w:t>
      </w:r>
      <w:r>
        <w:rPr>
          <w:rFonts w:ascii="Calibri" w:eastAsia="Calibri" w:hAnsi="Calibri" w:cs="Calibri"/>
          <w:color w:val="1A1A1A"/>
          <w:sz w:val="16"/>
          <w:szCs w:val="16"/>
        </w:rPr>
        <w:t>Será solicitada la co</w:t>
      </w:r>
      <w:r>
        <w:rPr>
          <w:rFonts w:ascii="Calibri" w:eastAsia="Calibri" w:hAnsi="Calibri" w:cs="Calibri"/>
          <w:color w:val="1A1A1A"/>
          <w:sz w:val="16"/>
          <w:szCs w:val="16"/>
        </w:rPr>
        <w:t>nstancia de beneficiarios finales en los casos en los que sean entidades extranjeras constituidas en paraísos fiscales.</w:t>
      </w:r>
    </w:p>
    <w:p w14:paraId="3C0EE03D" w14:textId="507EC341" w:rsidR="001151C3" w:rsidRPr="001151C3" w:rsidRDefault="001151C3" w:rsidP="001151C3">
      <w:pPr>
        <w:pStyle w:val="FootnoteText"/>
        <w:rPr>
          <w:lang w:val="es-ES_tradnl"/>
        </w:rPr>
      </w:pPr>
      <w:r>
        <w:rPr>
          <w:rFonts w:ascii="Calibri" w:eastAsia="Calibri" w:hAnsi="Calibri" w:cs="Calibri"/>
          <w:color w:val="1A1A1A"/>
          <w:sz w:val="16"/>
          <w:szCs w:val="16"/>
        </w:rPr>
        <w:t xml:space="preserve">(***) </w:t>
      </w:r>
      <w:r w:rsidRPr="001151C3">
        <w:rPr>
          <w:rFonts w:ascii="Calibri" w:eastAsia="Calibri" w:hAnsi="Calibri" w:cs="Calibri"/>
          <w:color w:val="1A1A1A"/>
          <w:sz w:val="16"/>
          <w:szCs w:val="16"/>
        </w:rPr>
        <w:t xml:space="preserve">El comprobante será solicitado para aquellas entidades </w:t>
      </w:r>
      <w:r>
        <w:rPr>
          <w:rFonts w:ascii="Calibri" w:eastAsia="Calibri" w:hAnsi="Calibri" w:cs="Calibri"/>
          <w:color w:val="1A1A1A"/>
          <w:sz w:val="16"/>
          <w:szCs w:val="16"/>
        </w:rPr>
        <w:t xml:space="preserve">nacionales </w:t>
      </w:r>
      <w:r w:rsidRPr="001151C3">
        <w:rPr>
          <w:rFonts w:ascii="Calibri" w:eastAsia="Calibri" w:hAnsi="Calibri" w:cs="Calibri"/>
          <w:color w:val="1A1A1A"/>
          <w:sz w:val="16"/>
          <w:szCs w:val="16"/>
        </w:rPr>
        <w:t>que pertenezcan al grupo de Personas Obligadas establecido en la Ley Contra el Lavado de Dinero u Otros Activos y su Reglamento.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ECC8F" w14:textId="77777777" w:rsidR="001815AC" w:rsidRDefault="001815AC">
    <w:pPr>
      <w:widowControl w:val="0"/>
      <w:pBdr>
        <w:top w:val="nil"/>
        <w:left w:val="nil"/>
        <w:bottom w:val="nil"/>
        <w:right w:val="nil"/>
        <w:between w:val="nil"/>
      </w:pBdr>
      <w:spacing w:after="0" w:line="276" w:lineRule="auto"/>
      <w:rPr>
        <w:rFonts w:ascii="Calibri" w:eastAsia="Calibri" w:hAnsi="Calibri" w:cs="Calibri"/>
        <w:color w:val="1A1A1A"/>
        <w:sz w:val="24"/>
        <w:szCs w:val="24"/>
      </w:rPr>
    </w:pPr>
  </w:p>
  <w:tbl>
    <w:tblPr>
      <w:tblStyle w:val="a7"/>
      <w:tblW w:w="9350" w:type="dxa"/>
      <w:tblLayout w:type="fixed"/>
      <w:tblLook w:val="0400" w:firstRow="0" w:lastRow="0" w:firstColumn="0" w:lastColumn="0" w:noHBand="0" w:noVBand="1"/>
    </w:tblPr>
    <w:tblGrid>
      <w:gridCol w:w="7100"/>
      <w:gridCol w:w="2250"/>
    </w:tblGrid>
    <w:tr w:rsidR="001815AC" w14:paraId="0E354931" w14:textId="77777777">
      <w:trPr>
        <w:trHeight w:val="891"/>
      </w:trPr>
      <w:tc>
        <w:tcPr>
          <w:tcW w:w="7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A5C99" w14:textId="77777777" w:rsidR="001815AC" w:rsidRDefault="00000000">
          <w:pPr>
            <w:spacing w:after="0" w:line="240" w:lineRule="auto"/>
            <w:jc w:val="center"/>
            <w:rPr>
              <w:rFonts w:ascii="Times New Roman" w:eastAsia="Times New Roman" w:hAnsi="Times New Roman" w:cs="Times New Roman"/>
              <w:sz w:val="24"/>
              <w:szCs w:val="24"/>
            </w:rPr>
          </w:pPr>
          <w:r>
            <w:rPr>
              <w:rFonts w:ascii="Calibri" w:eastAsia="Calibri" w:hAnsi="Calibri" w:cs="Calibri"/>
              <w:noProof/>
              <w:color w:val="000000"/>
            </w:rPr>
            <w:drawing>
              <wp:inline distT="0" distB="0" distL="0" distR="0" wp14:anchorId="09092C3D" wp14:editId="3FF2C40D">
                <wp:extent cx="1760220" cy="548640"/>
                <wp:effectExtent l="0" t="0" r="0" b="0"/>
                <wp:docPr id="15932162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760220" cy="548640"/>
                        </a:xfrm>
                        <a:prstGeom prst="rect">
                          <a:avLst/>
                        </a:prstGeom>
                        <a:ln/>
                      </pic:spPr>
                    </pic:pic>
                  </a:graphicData>
                </a:graphic>
              </wp:inline>
            </w:drawing>
          </w:r>
        </w:p>
        <w:p w14:paraId="099F1A79" w14:textId="17E933F0" w:rsidR="001815AC" w:rsidRDefault="00000000">
          <w:pPr>
            <w:spacing w:after="0" w:line="240" w:lineRule="auto"/>
            <w:jc w:val="center"/>
            <w:rPr>
              <w:rFonts w:ascii="Times New Roman" w:eastAsia="Times New Roman" w:hAnsi="Times New Roman" w:cs="Times New Roman"/>
              <w:b/>
              <w:sz w:val="24"/>
              <w:szCs w:val="24"/>
            </w:rPr>
          </w:pPr>
          <w:r>
            <w:rPr>
              <w:rFonts w:ascii="Calibri" w:eastAsia="Calibri" w:hAnsi="Calibri" w:cs="Calibri"/>
              <w:b/>
              <w:color w:val="000000"/>
            </w:rPr>
            <w:t xml:space="preserve">MANUAL DE PREVENCIÓN LD/FT/FPADM</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752F9" w14:textId="77777777" w:rsidR="001815AC" w:rsidRDefault="00000000">
          <w:pPr>
            <w:spacing w:after="0" w:line="240" w:lineRule="auto"/>
            <w:ind w:left="131"/>
            <w:rPr>
              <w:rFonts w:ascii="Times New Roman" w:eastAsia="Times New Roman" w:hAnsi="Times New Roman" w:cs="Times New Roman"/>
            </w:rPr>
          </w:pPr>
          <w:r>
            <w:rPr>
              <w:rFonts w:ascii="Calibri" w:eastAsia="Calibri" w:hAnsi="Calibri" w:cs="Calibri"/>
              <w:color w:val="000000"/>
            </w:rPr>
            <w:t xml:space="preserve">Revisión: </w:t>
          </w:r>
          <w:r>
            <w:rPr>
              <w:rFonts w:ascii="Calibri" w:eastAsia="Calibri" w:hAnsi="Calibri" w:cs="Calibri"/>
              <w:color w:val="000000"/>
            </w:rPr>
            <w:t xml:space="preserve">01</w:t>
          </w:r>
          <w:r>
            <w:rPr>
              <w:rFonts w:ascii="Calibri" w:eastAsia="Calibri" w:hAnsi="Calibri" w:cs="Calibri"/>
              <w:color w:val="000000"/>
            </w:rPr>
            <w:t xml:space="preserve"> </w:t>
          </w:r>
        </w:p>
        <w:p w14:paraId="74C6EB14" w14:textId="040899BC" w:rsidR="001815AC" w:rsidRDefault="00000000">
          <w:pPr>
            <w:spacing w:before="13" w:after="0" w:line="240" w:lineRule="auto"/>
            <w:ind w:left="122" w:right="210" w:firstLine="9"/>
            <w:rPr>
              <w:rFonts w:ascii="Times New Roman" w:eastAsia="Times New Roman" w:hAnsi="Times New Roman" w:cs="Times New Roman"/>
              <w:sz w:val="24"/>
              <w:szCs w:val="24"/>
            </w:rPr>
          </w:pPr>
          <w:r>
            <w:rPr>
              <w:rFonts w:ascii="Calibri" w:eastAsia="Calibri" w:hAnsi="Calibri" w:cs="Calibri"/>
              <w:color w:val="000000"/>
            </w:rPr>
            <w:t xml:space="preserve">Fecha: </w:t>
          </w:r>
          <w:r>
            <w:rPr>
              <w:rFonts w:ascii="Calibri" w:eastAsia="Calibri" w:hAnsi="Calibri" w:cs="Calibri"/>
              <w:color w:val="000000"/>
            </w:rPr>
            <w:t xml:space="preserve">10-sept-26 Código: MA-SIP-26</w:t>
          </w:r>
        </w:p>
      </w:tc>
    </w:tr>
  </w:tbl>
  <w:p w14:paraId="2D459812" w14:textId="77777777" w:rsidR="001815AC" w:rsidRDefault="001815AC">
    <w:pPr>
      <w:pBdr>
        <w:top w:val="nil"/>
        <w:left w:val="nil"/>
        <w:bottom w:val="nil"/>
        <w:right w:val="nil"/>
        <w:between w:val="nil"/>
      </w:pBdr>
      <w:tabs>
        <w:tab w:val="center" w:pos="4419"/>
        <w:tab w:val="right" w:pos="8838"/>
      </w:tabs>
      <w:spacing w:after="0" w:line="240" w:lineRule="auto"/>
      <w:jc w:val="center"/>
      <w:rPr>
        <w:color w:val="33643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F2E7F"/>
    <w:multiLevelType w:val="multilevel"/>
    <w:tmpl w:val="D52EE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F798D"/>
    <w:multiLevelType w:val="multilevel"/>
    <w:tmpl w:val="B2D8A1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7728AF"/>
    <w:multiLevelType w:val="multilevel"/>
    <w:tmpl w:val="E034B07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977EE2"/>
    <w:multiLevelType w:val="hybridMultilevel"/>
    <w:tmpl w:val="DA5204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F12E6"/>
    <w:multiLevelType w:val="multilevel"/>
    <w:tmpl w:val="634E298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E160A0E"/>
    <w:multiLevelType w:val="hybridMultilevel"/>
    <w:tmpl w:val="A8FC3A34"/>
    <w:lvl w:ilvl="0" w:tplc="7B168A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7678B5"/>
    <w:multiLevelType w:val="multilevel"/>
    <w:tmpl w:val="1A6053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5CC6693"/>
    <w:multiLevelType w:val="multilevel"/>
    <w:tmpl w:val="A7B2CB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16492FDA"/>
    <w:multiLevelType w:val="multilevel"/>
    <w:tmpl w:val="DBA6268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6DC37C4"/>
    <w:multiLevelType w:val="multilevel"/>
    <w:tmpl w:val="1F28A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8963AB"/>
    <w:multiLevelType w:val="multilevel"/>
    <w:tmpl w:val="BDB0866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BF23BF1"/>
    <w:multiLevelType w:val="multilevel"/>
    <w:tmpl w:val="91528D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49A59AF"/>
    <w:multiLevelType w:val="multilevel"/>
    <w:tmpl w:val="B5260EEA"/>
    <w:lvl w:ilvl="0">
      <w:start w:val="1"/>
      <w:numFmt w:val="low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54C1B34"/>
    <w:multiLevelType w:val="multilevel"/>
    <w:tmpl w:val="C53E68E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27897839"/>
    <w:multiLevelType w:val="hybridMultilevel"/>
    <w:tmpl w:val="D4C42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316EE5"/>
    <w:multiLevelType w:val="multilevel"/>
    <w:tmpl w:val="5642931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BF20D1D"/>
    <w:multiLevelType w:val="multilevel"/>
    <w:tmpl w:val="7D3851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F0337E2"/>
    <w:multiLevelType w:val="multilevel"/>
    <w:tmpl w:val="5642931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60462CC"/>
    <w:multiLevelType w:val="multilevel"/>
    <w:tmpl w:val="0BFAD4E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7520124"/>
    <w:multiLevelType w:val="multilevel"/>
    <w:tmpl w:val="F4AC188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3A68659C"/>
    <w:multiLevelType w:val="multilevel"/>
    <w:tmpl w:val="D696B298"/>
    <w:lvl w:ilvl="0">
      <w:start w:val="1"/>
      <w:numFmt w:val="lowerLetter"/>
      <w:lvlText w:val="%1)"/>
      <w:lvlJc w:val="left"/>
      <w:pPr>
        <w:ind w:left="720" w:hanging="360"/>
      </w:pPr>
    </w:lvl>
    <w:lvl w:ilvl="1">
      <w:start w:val="1"/>
      <w:numFmt w:val="upp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BFC746C"/>
    <w:multiLevelType w:val="hybridMultilevel"/>
    <w:tmpl w:val="36861C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6E5286"/>
    <w:multiLevelType w:val="multilevel"/>
    <w:tmpl w:val="702003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F51446A"/>
    <w:multiLevelType w:val="multilevel"/>
    <w:tmpl w:val="983E2AF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28A5D1B"/>
    <w:multiLevelType w:val="hybridMultilevel"/>
    <w:tmpl w:val="8A789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802814"/>
    <w:multiLevelType w:val="multilevel"/>
    <w:tmpl w:val="9E324E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0D240FB"/>
    <w:multiLevelType w:val="multilevel"/>
    <w:tmpl w:val="474A3926"/>
    <w:lvl w:ilvl="0">
      <w:start w:val="1"/>
      <w:numFmt w:val="low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47A1AA8"/>
    <w:multiLevelType w:val="multilevel"/>
    <w:tmpl w:val="9146C94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121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6F3625B"/>
    <w:multiLevelType w:val="multilevel"/>
    <w:tmpl w:val="1F3246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5BAC293F"/>
    <w:multiLevelType w:val="multilevel"/>
    <w:tmpl w:val="230A81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F6B6236"/>
    <w:multiLevelType w:val="multilevel"/>
    <w:tmpl w:val="FA38CE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5F7A0436"/>
    <w:multiLevelType w:val="multilevel"/>
    <w:tmpl w:val="7026F4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7656B2C"/>
    <w:multiLevelType w:val="hybridMultilevel"/>
    <w:tmpl w:val="F3E8AAE2"/>
    <w:lvl w:ilvl="0" w:tplc="080A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526DC9"/>
    <w:multiLevelType w:val="multilevel"/>
    <w:tmpl w:val="2EA281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C927367"/>
    <w:multiLevelType w:val="multilevel"/>
    <w:tmpl w:val="F78C3E2A"/>
    <w:lvl w:ilvl="0">
      <w:start w:val="1"/>
      <w:numFmt w:val="upperRoman"/>
      <w:pStyle w:val="Heading1"/>
      <w:lvlText w:val="%1."/>
      <w:lvlJc w:val="left"/>
      <w:pPr>
        <w:ind w:left="1080" w:hanging="72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5" w15:restartNumberingAfterBreak="0">
    <w:nsid w:val="700C4E08"/>
    <w:multiLevelType w:val="multilevel"/>
    <w:tmpl w:val="AB30E324"/>
    <w:lvl w:ilvl="0">
      <w:start w:val="1"/>
      <w:numFmt w:val="upperLetter"/>
      <w:pStyle w:val="Heading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0AB1C24"/>
    <w:multiLevelType w:val="hybridMultilevel"/>
    <w:tmpl w:val="76285E78"/>
    <w:lvl w:ilvl="0" w:tplc="080A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5046CE"/>
    <w:multiLevelType w:val="multilevel"/>
    <w:tmpl w:val="FE0E2A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7C876F8"/>
    <w:multiLevelType w:val="multilevel"/>
    <w:tmpl w:val="C67057E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7B7473FA"/>
    <w:multiLevelType w:val="multilevel"/>
    <w:tmpl w:val="0A607E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E0D0B4B"/>
    <w:multiLevelType w:val="multilevel"/>
    <w:tmpl w:val="F5F8EC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ED032F0"/>
    <w:multiLevelType w:val="multilevel"/>
    <w:tmpl w:val="A5C27B2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788" w:hanging="707"/>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43012501">
    <w:abstractNumId w:val="17"/>
  </w:num>
  <w:num w:numId="2" w16cid:durableId="1770738439">
    <w:abstractNumId w:val="16"/>
  </w:num>
  <w:num w:numId="3" w16cid:durableId="1833325274">
    <w:abstractNumId w:val="22"/>
  </w:num>
  <w:num w:numId="4" w16cid:durableId="931472448">
    <w:abstractNumId w:val="41"/>
  </w:num>
  <w:num w:numId="5" w16cid:durableId="1657958625">
    <w:abstractNumId w:val="10"/>
  </w:num>
  <w:num w:numId="6" w16cid:durableId="1284574996">
    <w:abstractNumId w:val="39"/>
  </w:num>
  <w:num w:numId="7" w16cid:durableId="37710810">
    <w:abstractNumId w:val="37"/>
  </w:num>
  <w:num w:numId="8" w16cid:durableId="1819884808">
    <w:abstractNumId w:val="2"/>
  </w:num>
  <w:num w:numId="9" w16cid:durableId="1879194059">
    <w:abstractNumId w:val="34"/>
  </w:num>
  <w:num w:numId="10" w16cid:durableId="1375816221">
    <w:abstractNumId w:val="19"/>
  </w:num>
  <w:num w:numId="11" w16cid:durableId="1138840067">
    <w:abstractNumId w:val="35"/>
  </w:num>
  <w:num w:numId="12" w16cid:durableId="1609578589">
    <w:abstractNumId w:val="7"/>
  </w:num>
  <w:num w:numId="13" w16cid:durableId="283658146">
    <w:abstractNumId w:val="28"/>
  </w:num>
  <w:num w:numId="14" w16cid:durableId="1485657670">
    <w:abstractNumId w:val="29"/>
  </w:num>
  <w:num w:numId="15" w16cid:durableId="162475344">
    <w:abstractNumId w:val="23"/>
  </w:num>
  <w:num w:numId="16" w16cid:durableId="87625818">
    <w:abstractNumId w:val="20"/>
  </w:num>
  <w:num w:numId="17" w16cid:durableId="1341346917">
    <w:abstractNumId w:val="4"/>
  </w:num>
  <w:num w:numId="18" w16cid:durableId="1567182743">
    <w:abstractNumId w:val="31"/>
  </w:num>
  <w:num w:numId="19" w16cid:durableId="369887132">
    <w:abstractNumId w:val="18"/>
  </w:num>
  <w:num w:numId="20" w16cid:durableId="733624011">
    <w:abstractNumId w:val="6"/>
  </w:num>
  <w:num w:numId="21" w16cid:durableId="1159072970">
    <w:abstractNumId w:val="25"/>
  </w:num>
  <w:num w:numId="22" w16cid:durableId="174654595">
    <w:abstractNumId w:val="12"/>
  </w:num>
  <w:num w:numId="23" w16cid:durableId="2024160639">
    <w:abstractNumId w:val="8"/>
  </w:num>
  <w:num w:numId="24" w16cid:durableId="558396183">
    <w:abstractNumId w:val="40"/>
  </w:num>
  <w:num w:numId="25" w16cid:durableId="1387995511">
    <w:abstractNumId w:val="1"/>
  </w:num>
  <w:num w:numId="26" w16cid:durableId="1804731365">
    <w:abstractNumId w:val="11"/>
  </w:num>
  <w:num w:numId="27" w16cid:durableId="1908613896">
    <w:abstractNumId w:val="30"/>
  </w:num>
  <w:num w:numId="28" w16cid:durableId="1469591571">
    <w:abstractNumId w:val="26"/>
  </w:num>
  <w:num w:numId="29" w16cid:durableId="1299611542">
    <w:abstractNumId w:val="33"/>
  </w:num>
  <w:num w:numId="30" w16cid:durableId="1364592518">
    <w:abstractNumId w:val="27"/>
  </w:num>
  <w:num w:numId="31" w16cid:durableId="1275288497">
    <w:abstractNumId w:val="13"/>
  </w:num>
  <w:num w:numId="32" w16cid:durableId="335688862">
    <w:abstractNumId w:val="38"/>
  </w:num>
  <w:num w:numId="33" w16cid:durableId="1905681371">
    <w:abstractNumId w:val="9"/>
  </w:num>
  <w:num w:numId="34" w16cid:durableId="74976416">
    <w:abstractNumId w:val="15"/>
  </w:num>
  <w:num w:numId="35" w16cid:durableId="687413996">
    <w:abstractNumId w:val="0"/>
  </w:num>
  <w:num w:numId="36" w16cid:durableId="1804077106">
    <w:abstractNumId w:val="3"/>
  </w:num>
  <w:num w:numId="37" w16cid:durableId="101997645">
    <w:abstractNumId w:val="5"/>
  </w:num>
  <w:num w:numId="38" w16cid:durableId="535771381">
    <w:abstractNumId w:val="21"/>
  </w:num>
  <w:num w:numId="39" w16cid:durableId="1240024166">
    <w:abstractNumId w:val="24"/>
  </w:num>
  <w:num w:numId="40" w16cid:durableId="83381088">
    <w:abstractNumId w:val="32"/>
  </w:num>
  <w:num w:numId="41" w16cid:durableId="1817649269">
    <w:abstractNumId w:val="36"/>
  </w:num>
  <w:num w:numId="42" w16cid:durableId="37265697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sé Roberto Castañeda"/>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5AC"/>
    <w:rsid w:val="00027F70"/>
    <w:rsid w:val="0003609D"/>
    <w:rsid w:val="00042C57"/>
    <w:rsid w:val="00081881"/>
    <w:rsid w:val="001151C3"/>
    <w:rsid w:val="00130DBF"/>
    <w:rsid w:val="001656EC"/>
    <w:rsid w:val="001815AC"/>
    <w:rsid w:val="001E0881"/>
    <w:rsid w:val="002508F8"/>
    <w:rsid w:val="002653C7"/>
    <w:rsid w:val="003B0808"/>
    <w:rsid w:val="003E3C2C"/>
    <w:rsid w:val="004348A3"/>
    <w:rsid w:val="00435338"/>
    <w:rsid w:val="00463E03"/>
    <w:rsid w:val="00490426"/>
    <w:rsid w:val="00497667"/>
    <w:rsid w:val="004B3E38"/>
    <w:rsid w:val="0057078F"/>
    <w:rsid w:val="005822A1"/>
    <w:rsid w:val="005C45C9"/>
    <w:rsid w:val="00627C5A"/>
    <w:rsid w:val="00642217"/>
    <w:rsid w:val="006A2D1A"/>
    <w:rsid w:val="00700EB3"/>
    <w:rsid w:val="00732A7B"/>
    <w:rsid w:val="00785FE2"/>
    <w:rsid w:val="007B38E2"/>
    <w:rsid w:val="00893451"/>
    <w:rsid w:val="00903D37"/>
    <w:rsid w:val="00930840"/>
    <w:rsid w:val="009B0A1C"/>
    <w:rsid w:val="009B7BEE"/>
    <w:rsid w:val="00A02C80"/>
    <w:rsid w:val="00A037D5"/>
    <w:rsid w:val="00AD6888"/>
    <w:rsid w:val="00B24838"/>
    <w:rsid w:val="00B51ECD"/>
    <w:rsid w:val="00B72136"/>
    <w:rsid w:val="00BD46E3"/>
    <w:rsid w:val="00BD52A9"/>
    <w:rsid w:val="00BF6284"/>
    <w:rsid w:val="00C36077"/>
    <w:rsid w:val="00D719DD"/>
    <w:rsid w:val="00EB5513"/>
    <w:rsid w:val="00FF0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AAF06"/>
  <w15:docId w15:val="{DD77165C-CB29-F44E-9F3E-DD0E0DCEB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rbel" w:eastAsia="Corbel" w:hAnsi="Corbel" w:cs="Corbel"/>
        <w:sz w:val="22"/>
        <w:szCs w:val="22"/>
        <w:lang w:val="es-SV"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8F"/>
  </w:style>
  <w:style w:type="paragraph" w:styleId="Heading1">
    <w:name w:val="heading 1"/>
    <w:basedOn w:val="Normal"/>
    <w:next w:val="Normal"/>
    <w:link w:val="Heading1Char"/>
    <w:uiPriority w:val="9"/>
    <w:qFormat/>
    <w:rsid w:val="009C4883"/>
    <w:pPr>
      <w:keepNext/>
      <w:keepLines/>
      <w:numPr>
        <w:numId w:val="9"/>
      </w:numPr>
      <w:spacing w:before="400" w:after="40" w:line="240" w:lineRule="auto"/>
      <w:outlineLvl w:val="0"/>
    </w:pPr>
    <w:rPr>
      <w:rFonts w:ascii="Calibri" w:eastAsiaTheme="majorEastAsia" w:hAnsi="Calibri" w:cstheme="majorBidi"/>
      <w:b/>
      <w:bCs/>
      <w:color w:val="1A1A1A" w:themeColor="background1" w:themeShade="1A"/>
      <w:sz w:val="24"/>
      <w:szCs w:val="24"/>
    </w:rPr>
  </w:style>
  <w:style w:type="paragraph" w:styleId="Heading2">
    <w:name w:val="heading 2"/>
    <w:basedOn w:val="Normal"/>
    <w:next w:val="Normal"/>
    <w:link w:val="Heading2Char"/>
    <w:uiPriority w:val="9"/>
    <w:unhideWhenUsed/>
    <w:qFormat/>
    <w:rsid w:val="001271B6"/>
    <w:pPr>
      <w:keepNext/>
      <w:keepLines/>
      <w:numPr>
        <w:numId w:val="11"/>
      </w:numPr>
      <w:spacing w:before="40" w:after="0" w:line="240" w:lineRule="auto"/>
      <w:outlineLvl w:val="1"/>
    </w:pPr>
    <w:rPr>
      <w:rFonts w:ascii="Calibri" w:eastAsiaTheme="majorEastAsia" w:hAnsi="Calibri" w:cstheme="majorHAnsi"/>
      <w:color w:val="1A1A1A" w:themeColor="background1" w:themeShade="1A"/>
      <w:sz w:val="24"/>
      <w:szCs w:val="24"/>
    </w:rPr>
  </w:style>
  <w:style w:type="paragraph" w:styleId="Heading3">
    <w:name w:val="heading 3"/>
    <w:basedOn w:val="Normal"/>
    <w:next w:val="Normal"/>
    <w:link w:val="Heading3Char"/>
    <w:uiPriority w:val="9"/>
    <w:unhideWhenUsed/>
    <w:qFormat/>
    <w:rsid w:val="00162F85"/>
    <w:pPr>
      <w:keepNext/>
      <w:keepLines/>
      <w:spacing w:before="40" w:after="0" w:line="240" w:lineRule="auto"/>
      <w:outlineLvl w:val="2"/>
    </w:pPr>
    <w:rPr>
      <w:rFonts w:asciiTheme="majorHAnsi" w:eastAsiaTheme="majorEastAsia" w:hAnsiTheme="majorHAnsi" w:cstheme="majorBidi"/>
      <w:color w:val="374C80" w:themeColor="accent1" w:themeShade="BF"/>
      <w:sz w:val="28"/>
      <w:szCs w:val="28"/>
    </w:rPr>
  </w:style>
  <w:style w:type="paragraph" w:styleId="Heading4">
    <w:name w:val="heading 4"/>
    <w:basedOn w:val="Normal"/>
    <w:next w:val="Normal"/>
    <w:link w:val="Heading4Char"/>
    <w:uiPriority w:val="9"/>
    <w:unhideWhenUsed/>
    <w:qFormat/>
    <w:rsid w:val="00162F85"/>
    <w:pPr>
      <w:keepNext/>
      <w:keepLines/>
      <w:spacing w:before="40" w:after="0"/>
      <w:outlineLvl w:val="3"/>
    </w:pPr>
    <w:rPr>
      <w:rFonts w:asciiTheme="majorHAnsi" w:eastAsiaTheme="majorEastAsia" w:hAnsiTheme="majorHAnsi" w:cstheme="majorBidi"/>
      <w:color w:val="374C80" w:themeColor="accent1" w:themeShade="BF"/>
      <w:sz w:val="24"/>
      <w:szCs w:val="24"/>
    </w:rPr>
  </w:style>
  <w:style w:type="paragraph" w:styleId="Heading5">
    <w:name w:val="heading 5"/>
    <w:basedOn w:val="Normal"/>
    <w:next w:val="Normal"/>
    <w:link w:val="Heading5Char"/>
    <w:uiPriority w:val="9"/>
    <w:semiHidden/>
    <w:unhideWhenUsed/>
    <w:qFormat/>
    <w:rsid w:val="00162F85"/>
    <w:pPr>
      <w:keepNext/>
      <w:keepLines/>
      <w:spacing w:before="40" w:after="0"/>
      <w:outlineLvl w:val="4"/>
    </w:pPr>
    <w:rPr>
      <w:rFonts w:asciiTheme="majorHAnsi" w:eastAsiaTheme="majorEastAsia" w:hAnsiTheme="majorHAnsi" w:cstheme="majorBidi"/>
      <w:caps/>
      <w:color w:val="374C80" w:themeColor="accent1" w:themeShade="BF"/>
    </w:rPr>
  </w:style>
  <w:style w:type="paragraph" w:styleId="Heading6">
    <w:name w:val="heading 6"/>
    <w:basedOn w:val="Normal"/>
    <w:next w:val="Normal"/>
    <w:link w:val="Heading6Char"/>
    <w:uiPriority w:val="9"/>
    <w:semiHidden/>
    <w:unhideWhenUsed/>
    <w:qFormat/>
    <w:rsid w:val="00162F85"/>
    <w:pPr>
      <w:keepNext/>
      <w:keepLines/>
      <w:spacing w:before="40" w:after="0"/>
      <w:outlineLvl w:val="5"/>
    </w:pPr>
    <w:rPr>
      <w:rFonts w:asciiTheme="majorHAnsi" w:eastAsiaTheme="majorEastAsia" w:hAnsiTheme="majorHAnsi" w:cstheme="majorBidi"/>
      <w:i/>
      <w:iCs/>
      <w:caps/>
      <w:color w:val="253356" w:themeColor="accent1" w:themeShade="80"/>
    </w:rPr>
  </w:style>
  <w:style w:type="paragraph" w:styleId="Heading7">
    <w:name w:val="heading 7"/>
    <w:basedOn w:val="Normal"/>
    <w:next w:val="Normal"/>
    <w:link w:val="Heading7Char"/>
    <w:uiPriority w:val="9"/>
    <w:semiHidden/>
    <w:unhideWhenUsed/>
    <w:qFormat/>
    <w:rsid w:val="00162F85"/>
    <w:pPr>
      <w:keepNext/>
      <w:keepLines/>
      <w:spacing w:before="40" w:after="0"/>
      <w:outlineLvl w:val="6"/>
    </w:pPr>
    <w:rPr>
      <w:rFonts w:asciiTheme="majorHAnsi" w:eastAsiaTheme="majorEastAsia" w:hAnsiTheme="majorHAnsi" w:cstheme="majorBidi"/>
      <w:b/>
      <w:bCs/>
      <w:color w:val="253356" w:themeColor="accent1" w:themeShade="80"/>
    </w:rPr>
  </w:style>
  <w:style w:type="paragraph" w:styleId="Heading8">
    <w:name w:val="heading 8"/>
    <w:basedOn w:val="Normal"/>
    <w:next w:val="Normal"/>
    <w:link w:val="Heading8Char"/>
    <w:uiPriority w:val="9"/>
    <w:semiHidden/>
    <w:unhideWhenUsed/>
    <w:qFormat/>
    <w:rsid w:val="00162F85"/>
    <w:pPr>
      <w:keepNext/>
      <w:keepLines/>
      <w:spacing w:before="40" w:after="0"/>
      <w:outlineLvl w:val="7"/>
    </w:pPr>
    <w:rPr>
      <w:rFonts w:asciiTheme="majorHAnsi" w:eastAsiaTheme="majorEastAsia" w:hAnsiTheme="majorHAnsi" w:cstheme="majorBidi"/>
      <w:b/>
      <w:bCs/>
      <w:i/>
      <w:iCs/>
      <w:color w:val="253356" w:themeColor="accent1" w:themeShade="80"/>
    </w:rPr>
  </w:style>
  <w:style w:type="paragraph" w:styleId="Heading9">
    <w:name w:val="heading 9"/>
    <w:basedOn w:val="Normal"/>
    <w:next w:val="Normal"/>
    <w:link w:val="Heading9Char"/>
    <w:uiPriority w:val="9"/>
    <w:semiHidden/>
    <w:unhideWhenUsed/>
    <w:qFormat/>
    <w:rsid w:val="00162F85"/>
    <w:pPr>
      <w:keepNext/>
      <w:keepLines/>
      <w:spacing w:before="40" w:after="0"/>
      <w:outlineLvl w:val="8"/>
    </w:pPr>
    <w:rPr>
      <w:rFonts w:asciiTheme="majorHAnsi" w:eastAsiaTheme="majorEastAsia" w:hAnsiTheme="majorHAnsi" w:cstheme="majorBidi"/>
      <w:i/>
      <w:iCs/>
      <w:color w:val="253356"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62F85"/>
    <w:pPr>
      <w:spacing w:after="0" w:line="204" w:lineRule="auto"/>
      <w:contextualSpacing/>
    </w:pPr>
    <w:rPr>
      <w:rFonts w:asciiTheme="majorHAnsi" w:eastAsiaTheme="majorEastAsia" w:hAnsiTheme="majorHAnsi" w:cstheme="majorBidi"/>
      <w:caps/>
      <w:color w:val="242852" w:themeColor="text2"/>
      <w:spacing w:val="-15"/>
      <w:sz w:val="72"/>
      <w:szCs w:val="72"/>
    </w:rPr>
  </w:style>
  <w:style w:type="character" w:customStyle="1" w:styleId="Heading1Char">
    <w:name w:val="Heading 1 Char"/>
    <w:basedOn w:val="DefaultParagraphFont"/>
    <w:link w:val="Heading1"/>
    <w:uiPriority w:val="9"/>
    <w:rsid w:val="009C4883"/>
    <w:rPr>
      <w:rFonts w:ascii="Calibri" w:eastAsiaTheme="majorEastAsia" w:hAnsi="Calibri" w:cstheme="majorBidi"/>
      <w:b/>
      <w:bCs/>
      <w:color w:val="1A1A1A" w:themeColor="background1" w:themeShade="1A"/>
      <w:sz w:val="24"/>
      <w:szCs w:val="24"/>
    </w:rPr>
  </w:style>
  <w:style w:type="character" w:customStyle="1" w:styleId="Heading2Char">
    <w:name w:val="Heading 2 Char"/>
    <w:basedOn w:val="DefaultParagraphFont"/>
    <w:link w:val="Heading2"/>
    <w:uiPriority w:val="9"/>
    <w:rsid w:val="001271B6"/>
    <w:rPr>
      <w:rFonts w:ascii="Calibri" w:eastAsiaTheme="majorEastAsia" w:hAnsi="Calibri" w:cstheme="majorHAnsi"/>
      <w:color w:val="1A1A1A" w:themeColor="background1" w:themeShade="1A"/>
      <w:sz w:val="24"/>
      <w:szCs w:val="24"/>
    </w:rPr>
  </w:style>
  <w:style w:type="character" w:customStyle="1" w:styleId="Heading3Char">
    <w:name w:val="Heading 3 Char"/>
    <w:basedOn w:val="DefaultParagraphFont"/>
    <w:link w:val="Heading3"/>
    <w:uiPriority w:val="9"/>
    <w:rsid w:val="00162F85"/>
    <w:rPr>
      <w:rFonts w:asciiTheme="majorHAnsi" w:eastAsiaTheme="majorEastAsia" w:hAnsiTheme="majorHAnsi"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162F85"/>
    <w:rPr>
      <w:rFonts w:asciiTheme="majorHAnsi" w:eastAsiaTheme="majorEastAsia" w:hAnsiTheme="majorHAnsi" w:cstheme="majorBidi"/>
      <w:color w:val="374C80" w:themeColor="accent1" w:themeShade="BF"/>
      <w:sz w:val="24"/>
      <w:szCs w:val="24"/>
    </w:rPr>
  </w:style>
  <w:style w:type="character" w:customStyle="1" w:styleId="Heading5Char">
    <w:name w:val="Heading 5 Char"/>
    <w:basedOn w:val="DefaultParagraphFont"/>
    <w:link w:val="Heading5"/>
    <w:uiPriority w:val="9"/>
    <w:semiHidden/>
    <w:rsid w:val="00162F85"/>
    <w:rPr>
      <w:rFonts w:asciiTheme="majorHAnsi" w:eastAsiaTheme="majorEastAsia" w:hAnsiTheme="majorHAnsi" w:cstheme="majorBidi"/>
      <w:caps/>
      <w:color w:val="374C80" w:themeColor="accent1" w:themeShade="BF"/>
    </w:rPr>
  </w:style>
  <w:style w:type="character" w:customStyle="1" w:styleId="Heading6Char">
    <w:name w:val="Heading 6 Char"/>
    <w:basedOn w:val="DefaultParagraphFont"/>
    <w:link w:val="Heading6"/>
    <w:uiPriority w:val="9"/>
    <w:semiHidden/>
    <w:rsid w:val="00162F85"/>
    <w:rPr>
      <w:rFonts w:asciiTheme="majorHAnsi" w:eastAsiaTheme="majorEastAsia" w:hAnsiTheme="majorHAnsi" w:cstheme="majorBidi"/>
      <w:i/>
      <w:iCs/>
      <w:caps/>
      <w:color w:val="253356" w:themeColor="accent1" w:themeShade="80"/>
    </w:rPr>
  </w:style>
  <w:style w:type="character" w:customStyle="1" w:styleId="Heading7Char">
    <w:name w:val="Heading 7 Char"/>
    <w:basedOn w:val="DefaultParagraphFont"/>
    <w:link w:val="Heading7"/>
    <w:uiPriority w:val="9"/>
    <w:semiHidden/>
    <w:rsid w:val="00162F85"/>
    <w:rPr>
      <w:rFonts w:asciiTheme="majorHAnsi" w:eastAsiaTheme="majorEastAsia" w:hAnsiTheme="majorHAnsi" w:cstheme="majorBidi"/>
      <w:b/>
      <w:bCs/>
      <w:color w:val="253356" w:themeColor="accent1" w:themeShade="80"/>
    </w:rPr>
  </w:style>
  <w:style w:type="character" w:customStyle="1" w:styleId="Heading8Char">
    <w:name w:val="Heading 8 Char"/>
    <w:basedOn w:val="DefaultParagraphFont"/>
    <w:link w:val="Heading8"/>
    <w:uiPriority w:val="9"/>
    <w:semiHidden/>
    <w:rsid w:val="00162F85"/>
    <w:rPr>
      <w:rFonts w:asciiTheme="majorHAnsi" w:eastAsiaTheme="majorEastAsia" w:hAnsiTheme="majorHAnsi" w:cstheme="majorBidi"/>
      <w:b/>
      <w:bCs/>
      <w:i/>
      <w:iCs/>
      <w:color w:val="253356" w:themeColor="accent1" w:themeShade="80"/>
    </w:rPr>
  </w:style>
  <w:style w:type="character" w:customStyle="1" w:styleId="Heading9Char">
    <w:name w:val="Heading 9 Char"/>
    <w:basedOn w:val="DefaultParagraphFont"/>
    <w:link w:val="Heading9"/>
    <w:uiPriority w:val="9"/>
    <w:semiHidden/>
    <w:rsid w:val="00162F85"/>
    <w:rPr>
      <w:rFonts w:asciiTheme="majorHAnsi" w:eastAsiaTheme="majorEastAsia" w:hAnsiTheme="majorHAnsi" w:cstheme="majorBidi"/>
      <w:i/>
      <w:iCs/>
      <w:color w:val="253356" w:themeColor="accent1" w:themeShade="80"/>
    </w:rPr>
  </w:style>
  <w:style w:type="paragraph" w:styleId="Header">
    <w:name w:val="header"/>
    <w:basedOn w:val="Normal"/>
    <w:link w:val="HeaderChar"/>
    <w:uiPriority w:val="99"/>
    <w:unhideWhenUsed/>
    <w:rsid w:val="007B2973"/>
    <w:pPr>
      <w:tabs>
        <w:tab w:val="center" w:pos="4419"/>
        <w:tab w:val="right" w:pos="8838"/>
      </w:tabs>
      <w:spacing w:after="0" w:line="240" w:lineRule="auto"/>
    </w:pPr>
  </w:style>
  <w:style w:type="character" w:customStyle="1" w:styleId="HeaderChar">
    <w:name w:val="Header Char"/>
    <w:basedOn w:val="DefaultParagraphFont"/>
    <w:link w:val="Header"/>
    <w:uiPriority w:val="99"/>
    <w:rsid w:val="007B2973"/>
  </w:style>
  <w:style w:type="paragraph" w:styleId="Footer">
    <w:name w:val="footer"/>
    <w:basedOn w:val="Normal"/>
    <w:link w:val="FooterChar"/>
    <w:uiPriority w:val="99"/>
    <w:unhideWhenUsed/>
    <w:rsid w:val="007B2973"/>
    <w:pPr>
      <w:tabs>
        <w:tab w:val="center" w:pos="4419"/>
        <w:tab w:val="right" w:pos="8838"/>
      </w:tabs>
      <w:spacing w:after="0" w:line="240" w:lineRule="auto"/>
    </w:pPr>
  </w:style>
  <w:style w:type="character" w:customStyle="1" w:styleId="FooterChar">
    <w:name w:val="Footer Char"/>
    <w:basedOn w:val="DefaultParagraphFont"/>
    <w:link w:val="Footer"/>
    <w:uiPriority w:val="99"/>
    <w:rsid w:val="007B2973"/>
  </w:style>
  <w:style w:type="paragraph" w:styleId="ListParagraph">
    <w:name w:val="List Paragraph"/>
    <w:basedOn w:val="Normal"/>
    <w:uiPriority w:val="34"/>
    <w:qFormat/>
    <w:rsid w:val="007B2973"/>
    <w:pPr>
      <w:ind w:left="720"/>
      <w:contextualSpacing/>
    </w:pPr>
  </w:style>
  <w:style w:type="character" w:styleId="Hyperlink">
    <w:name w:val="Hyperlink"/>
    <w:basedOn w:val="DefaultParagraphFont"/>
    <w:uiPriority w:val="99"/>
    <w:unhideWhenUsed/>
    <w:rsid w:val="007B2973"/>
    <w:rPr>
      <w:color w:val="9454C3" w:themeColor="hyperlink"/>
      <w:u w:val="single"/>
    </w:rPr>
  </w:style>
  <w:style w:type="table" w:styleId="TableGrid">
    <w:name w:val="Table Grid"/>
    <w:basedOn w:val="TableNormal"/>
    <w:uiPriority w:val="39"/>
    <w:rsid w:val="007B2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B2973"/>
    <w:rPr>
      <w:sz w:val="16"/>
      <w:szCs w:val="16"/>
    </w:rPr>
  </w:style>
  <w:style w:type="paragraph" w:styleId="CommentText">
    <w:name w:val="annotation text"/>
    <w:basedOn w:val="Normal"/>
    <w:link w:val="CommentTextChar"/>
    <w:uiPriority w:val="99"/>
    <w:unhideWhenUsed/>
    <w:rsid w:val="007B2973"/>
    <w:pPr>
      <w:spacing w:line="240" w:lineRule="auto"/>
    </w:pPr>
    <w:rPr>
      <w:sz w:val="20"/>
      <w:szCs w:val="20"/>
    </w:rPr>
  </w:style>
  <w:style w:type="character" w:customStyle="1" w:styleId="CommentTextChar">
    <w:name w:val="Comment Text Char"/>
    <w:basedOn w:val="DefaultParagraphFont"/>
    <w:link w:val="CommentText"/>
    <w:uiPriority w:val="99"/>
    <w:rsid w:val="007B2973"/>
    <w:rPr>
      <w:sz w:val="20"/>
      <w:szCs w:val="20"/>
    </w:rPr>
  </w:style>
  <w:style w:type="paragraph" w:styleId="CommentSubject">
    <w:name w:val="annotation subject"/>
    <w:basedOn w:val="CommentText"/>
    <w:next w:val="CommentText"/>
    <w:link w:val="CommentSubjectChar"/>
    <w:uiPriority w:val="99"/>
    <w:semiHidden/>
    <w:unhideWhenUsed/>
    <w:rsid w:val="007B2973"/>
    <w:rPr>
      <w:b/>
      <w:bCs/>
    </w:rPr>
  </w:style>
  <w:style w:type="character" w:customStyle="1" w:styleId="CommentSubjectChar">
    <w:name w:val="Comment Subject Char"/>
    <w:basedOn w:val="CommentTextChar"/>
    <w:link w:val="CommentSubject"/>
    <w:uiPriority w:val="99"/>
    <w:semiHidden/>
    <w:rsid w:val="007B2973"/>
    <w:rPr>
      <w:b/>
      <w:bCs/>
      <w:sz w:val="20"/>
      <w:szCs w:val="20"/>
    </w:rPr>
  </w:style>
  <w:style w:type="paragraph" w:styleId="BalloonText">
    <w:name w:val="Balloon Text"/>
    <w:basedOn w:val="Normal"/>
    <w:link w:val="BalloonTextChar"/>
    <w:uiPriority w:val="99"/>
    <w:semiHidden/>
    <w:unhideWhenUsed/>
    <w:rsid w:val="007B29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2973"/>
    <w:rPr>
      <w:rFonts w:ascii="Segoe UI" w:hAnsi="Segoe UI" w:cs="Segoe UI"/>
      <w:sz w:val="18"/>
      <w:szCs w:val="18"/>
    </w:rPr>
  </w:style>
  <w:style w:type="paragraph" w:styleId="TOCHeading">
    <w:name w:val="TOC Heading"/>
    <w:basedOn w:val="Heading1"/>
    <w:next w:val="Normal"/>
    <w:uiPriority w:val="39"/>
    <w:unhideWhenUsed/>
    <w:qFormat/>
    <w:rsid w:val="00162F85"/>
    <w:pPr>
      <w:outlineLvl w:val="9"/>
    </w:pPr>
  </w:style>
  <w:style w:type="paragraph" w:customStyle="1" w:styleId="Default">
    <w:name w:val="Default"/>
    <w:rsid w:val="007B2973"/>
    <w:pPr>
      <w:autoSpaceDE w:val="0"/>
      <w:autoSpaceDN w:val="0"/>
      <w:adjustRightInd w:val="0"/>
      <w:spacing w:after="0" w:line="240" w:lineRule="auto"/>
    </w:pPr>
    <w:rPr>
      <w:rFonts w:ascii="Calibri" w:hAnsi="Calibri" w:cs="Calibri"/>
      <w:color w:val="000000"/>
      <w:sz w:val="24"/>
      <w:szCs w:val="24"/>
      <w:lang w:val="es-MX"/>
    </w:rPr>
  </w:style>
  <w:style w:type="paragraph" w:styleId="TOC1">
    <w:name w:val="toc 1"/>
    <w:basedOn w:val="Normal"/>
    <w:next w:val="Normal"/>
    <w:autoRedefine/>
    <w:uiPriority w:val="39"/>
    <w:unhideWhenUsed/>
    <w:rsid w:val="007B2973"/>
    <w:pPr>
      <w:spacing w:after="100"/>
    </w:pPr>
  </w:style>
  <w:style w:type="paragraph" w:styleId="TOC2">
    <w:name w:val="toc 2"/>
    <w:basedOn w:val="Normal"/>
    <w:next w:val="Normal"/>
    <w:autoRedefine/>
    <w:uiPriority w:val="39"/>
    <w:unhideWhenUsed/>
    <w:rsid w:val="001271B6"/>
    <w:pPr>
      <w:tabs>
        <w:tab w:val="left" w:pos="660"/>
        <w:tab w:val="right" w:leader="dot" w:pos="9204"/>
      </w:tabs>
      <w:spacing w:after="100"/>
      <w:ind w:left="220"/>
    </w:pPr>
    <w:rPr>
      <w:rFonts w:ascii="Calibri" w:eastAsia="Calibri" w:hAnsi="Calibri" w:cstheme="majorHAnsi"/>
      <w:b/>
      <w:bCs/>
      <w:noProof/>
    </w:rPr>
  </w:style>
  <w:style w:type="character" w:styleId="Strong">
    <w:name w:val="Strong"/>
    <w:basedOn w:val="DefaultParagraphFont"/>
    <w:uiPriority w:val="22"/>
    <w:qFormat/>
    <w:rsid w:val="00162F85"/>
    <w:rPr>
      <w:b/>
      <w:bCs/>
    </w:rPr>
  </w:style>
  <w:style w:type="paragraph" w:styleId="TOC3">
    <w:name w:val="toc 3"/>
    <w:basedOn w:val="Normal"/>
    <w:next w:val="Normal"/>
    <w:autoRedefine/>
    <w:uiPriority w:val="39"/>
    <w:unhideWhenUsed/>
    <w:rsid w:val="007B2973"/>
    <w:pPr>
      <w:spacing w:after="100"/>
      <w:ind w:left="440"/>
    </w:pPr>
  </w:style>
  <w:style w:type="character" w:customStyle="1" w:styleId="a">
    <w:name w:val="Основной текст_"/>
    <w:basedOn w:val="DefaultParagraphFont"/>
    <w:link w:val="1"/>
    <w:rsid w:val="007B2973"/>
    <w:rPr>
      <w:rFonts w:ascii="Arial" w:eastAsia="Arial" w:hAnsi="Arial" w:cs="Arial"/>
      <w:sz w:val="21"/>
      <w:szCs w:val="21"/>
      <w:shd w:val="clear" w:color="auto" w:fill="FFFFFF"/>
    </w:rPr>
  </w:style>
  <w:style w:type="paragraph" w:customStyle="1" w:styleId="1">
    <w:name w:val="Основной текст1"/>
    <w:basedOn w:val="Normal"/>
    <w:link w:val="a"/>
    <w:rsid w:val="007B2973"/>
    <w:pPr>
      <w:widowControl w:val="0"/>
      <w:shd w:val="clear" w:color="auto" w:fill="FFFFFF"/>
      <w:spacing w:before="480" w:after="0" w:line="414" w:lineRule="exact"/>
      <w:ind w:hanging="1160"/>
      <w:jc w:val="both"/>
    </w:pPr>
    <w:rPr>
      <w:rFonts w:ascii="Arial" w:eastAsia="Arial" w:hAnsi="Arial" w:cs="Arial"/>
      <w:sz w:val="21"/>
      <w:szCs w:val="21"/>
    </w:rPr>
  </w:style>
  <w:style w:type="paragraph" w:styleId="NoSpacing">
    <w:name w:val="No Spacing"/>
    <w:link w:val="NoSpacingChar"/>
    <w:uiPriority w:val="1"/>
    <w:qFormat/>
    <w:rsid w:val="00162F85"/>
    <w:pPr>
      <w:spacing w:after="0" w:line="240" w:lineRule="auto"/>
    </w:pPr>
  </w:style>
  <w:style w:type="character" w:customStyle="1" w:styleId="NoSpacingChar">
    <w:name w:val="No Spacing Char"/>
    <w:basedOn w:val="DefaultParagraphFont"/>
    <w:link w:val="NoSpacing"/>
    <w:uiPriority w:val="1"/>
    <w:rsid w:val="00003062"/>
  </w:style>
  <w:style w:type="character" w:customStyle="1" w:styleId="Textodemarcadordeposicin">
    <w:name w:val="Texto de marcador de posición"/>
    <w:basedOn w:val="DefaultParagraphFont"/>
    <w:uiPriority w:val="99"/>
    <w:semiHidden/>
    <w:rsid w:val="00B5456E"/>
    <w:rPr>
      <w:color w:val="808080"/>
    </w:rPr>
  </w:style>
  <w:style w:type="character" w:styleId="UnresolvedMention">
    <w:name w:val="Unresolved Mention"/>
    <w:basedOn w:val="DefaultParagraphFont"/>
    <w:uiPriority w:val="99"/>
    <w:semiHidden/>
    <w:unhideWhenUsed/>
    <w:rsid w:val="00E37825"/>
    <w:rPr>
      <w:color w:val="605E5C"/>
      <w:shd w:val="clear" w:color="auto" w:fill="E1DFDD"/>
    </w:rPr>
  </w:style>
  <w:style w:type="paragraph" w:styleId="Caption">
    <w:name w:val="caption"/>
    <w:basedOn w:val="Normal"/>
    <w:next w:val="Normal"/>
    <w:uiPriority w:val="35"/>
    <w:unhideWhenUsed/>
    <w:qFormat/>
    <w:rsid w:val="00162F85"/>
    <w:pPr>
      <w:spacing w:line="240" w:lineRule="auto"/>
    </w:pPr>
    <w:rPr>
      <w:b/>
      <w:bCs/>
      <w:smallCaps/>
      <w:color w:val="242852" w:themeColor="text2"/>
    </w:rPr>
  </w:style>
  <w:style w:type="character" w:customStyle="1" w:styleId="TitleChar">
    <w:name w:val="Title Char"/>
    <w:basedOn w:val="DefaultParagraphFont"/>
    <w:link w:val="Title"/>
    <w:uiPriority w:val="10"/>
    <w:rsid w:val="00162F85"/>
    <w:rPr>
      <w:rFonts w:asciiTheme="majorHAnsi" w:eastAsiaTheme="majorEastAsia" w:hAnsiTheme="majorHAnsi" w:cstheme="majorBidi"/>
      <w:caps/>
      <w:color w:val="242852" w:themeColor="text2"/>
      <w:spacing w:val="-15"/>
      <w:sz w:val="72"/>
      <w:szCs w:val="72"/>
    </w:rPr>
  </w:style>
  <w:style w:type="paragraph" w:styleId="Subtitle">
    <w:name w:val="Subtitle"/>
    <w:basedOn w:val="Normal"/>
    <w:next w:val="Normal"/>
    <w:link w:val="SubtitleChar"/>
    <w:uiPriority w:val="11"/>
    <w:qFormat/>
    <w:pPr>
      <w:spacing w:after="240" w:line="240" w:lineRule="auto"/>
    </w:pPr>
    <w:rPr>
      <w:color w:val="4A66AC"/>
      <w:sz w:val="28"/>
      <w:szCs w:val="28"/>
    </w:rPr>
  </w:style>
  <w:style w:type="character" w:customStyle="1" w:styleId="SubtitleChar">
    <w:name w:val="Subtitle Char"/>
    <w:basedOn w:val="DefaultParagraphFont"/>
    <w:link w:val="Subtitle"/>
    <w:uiPriority w:val="11"/>
    <w:rsid w:val="00162F85"/>
    <w:rPr>
      <w:rFonts w:asciiTheme="majorHAnsi" w:eastAsiaTheme="majorEastAsia" w:hAnsiTheme="majorHAnsi" w:cstheme="majorBidi"/>
      <w:color w:val="4A66AC" w:themeColor="accent1"/>
      <w:sz w:val="28"/>
      <w:szCs w:val="28"/>
    </w:rPr>
  </w:style>
  <w:style w:type="character" w:styleId="Emphasis">
    <w:name w:val="Emphasis"/>
    <w:basedOn w:val="DefaultParagraphFont"/>
    <w:uiPriority w:val="20"/>
    <w:qFormat/>
    <w:rsid w:val="00162F85"/>
    <w:rPr>
      <w:i/>
      <w:iCs/>
    </w:rPr>
  </w:style>
  <w:style w:type="paragraph" w:styleId="Quote">
    <w:name w:val="Quote"/>
    <w:basedOn w:val="Normal"/>
    <w:next w:val="Normal"/>
    <w:link w:val="QuoteChar"/>
    <w:uiPriority w:val="29"/>
    <w:qFormat/>
    <w:rsid w:val="00162F85"/>
    <w:pPr>
      <w:spacing w:before="120" w:after="120"/>
      <w:ind w:left="720"/>
    </w:pPr>
    <w:rPr>
      <w:color w:val="242852" w:themeColor="text2"/>
      <w:sz w:val="24"/>
      <w:szCs w:val="24"/>
    </w:rPr>
  </w:style>
  <w:style w:type="character" w:customStyle="1" w:styleId="QuoteChar">
    <w:name w:val="Quote Char"/>
    <w:basedOn w:val="DefaultParagraphFont"/>
    <w:link w:val="Quote"/>
    <w:uiPriority w:val="29"/>
    <w:rsid w:val="00162F85"/>
    <w:rPr>
      <w:color w:val="242852" w:themeColor="text2"/>
      <w:sz w:val="24"/>
      <w:szCs w:val="24"/>
    </w:rPr>
  </w:style>
  <w:style w:type="paragraph" w:styleId="IntenseQuote">
    <w:name w:val="Intense Quote"/>
    <w:basedOn w:val="Normal"/>
    <w:next w:val="Normal"/>
    <w:link w:val="IntenseQuoteChar"/>
    <w:uiPriority w:val="30"/>
    <w:qFormat/>
    <w:rsid w:val="00162F85"/>
    <w:pPr>
      <w:spacing w:before="100" w:beforeAutospacing="1" w:after="240" w:line="240" w:lineRule="auto"/>
      <w:ind w:left="720"/>
      <w:jc w:val="center"/>
    </w:pPr>
    <w:rPr>
      <w:rFonts w:asciiTheme="majorHAnsi" w:eastAsiaTheme="majorEastAsia" w:hAnsiTheme="majorHAnsi" w:cstheme="majorBidi"/>
      <w:color w:val="242852" w:themeColor="text2"/>
      <w:spacing w:val="-6"/>
      <w:sz w:val="32"/>
      <w:szCs w:val="32"/>
    </w:rPr>
  </w:style>
  <w:style w:type="character" w:customStyle="1" w:styleId="IntenseQuoteChar">
    <w:name w:val="Intense Quote Char"/>
    <w:basedOn w:val="DefaultParagraphFont"/>
    <w:link w:val="IntenseQuote"/>
    <w:uiPriority w:val="30"/>
    <w:rsid w:val="00162F85"/>
    <w:rPr>
      <w:rFonts w:asciiTheme="majorHAnsi" w:eastAsiaTheme="majorEastAsia" w:hAnsiTheme="majorHAnsi" w:cstheme="majorBidi"/>
      <w:color w:val="242852" w:themeColor="text2"/>
      <w:spacing w:val="-6"/>
      <w:sz w:val="32"/>
      <w:szCs w:val="32"/>
    </w:rPr>
  </w:style>
  <w:style w:type="character" w:styleId="SubtleEmphasis">
    <w:name w:val="Subtle Emphasis"/>
    <w:basedOn w:val="DefaultParagraphFont"/>
    <w:uiPriority w:val="19"/>
    <w:qFormat/>
    <w:rsid w:val="00162F85"/>
    <w:rPr>
      <w:i/>
      <w:iCs/>
      <w:color w:val="595959" w:themeColor="text1" w:themeTint="A6"/>
    </w:rPr>
  </w:style>
  <w:style w:type="character" w:styleId="IntenseEmphasis">
    <w:name w:val="Intense Emphasis"/>
    <w:basedOn w:val="DefaultParagraphFont"/>
    <w:uiPriority w:val="21"/>
    <w:qFormat/>
    <w:rsid w:val="00162F85"/>
    <w:rPr>
      <w:b/>
      <w:bCs/>
      <w:i/>
      <w:iCs/>
    </w:rPr>
  </w:style>
  <w:style w:type="character" w:styleId="SubtleReference">
    <w:name w:val="Subtle Reference"/>
    <w:basedOn w:val="DefaultParagraphFont"/>
    <w:uiPriority w:val="31"/>
    <w:qFormat/>
    <w:rsid w:val="00162F8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62F85"/>
    <w:rPr>
      <w:b/>
      <w:bCs/>
      <w:smallCaps/>
      <w:color w:val="242852" w:themeColor="text2"/>
      <w:u w:val="single"/>
    </w:rPr>
  </w:style>
  <w:style w:type="character" w:styleId="BookTitle">
    <w:name w:val="Book Title"/>
    <w:basedOn w:val="DefaultParagraphFont"/>
    <w:uiPriority w:val="33"/>
    <w:qFormat/>
    <w:rsid w:val="00162F85"/>
    <w:rPr>
      <w:b/>
      <w:bCs/>
      <w:smallCaps/>
      <w:spacing w:val="10"/>
    </w:rPr>
  </w:style>
  <w:style w:type="paragraph" w:styleId="Revision">
    <w:name w:val="Revision"/>
    <w:hidden/>
    <w:uiPriority w:val="99"/>
    <w:semiHidden/>
    <w:rsid w:val="003F1182"/>
    <w:pPr>
      <w:spacing w:after="0" w:line="240" w:lineRule="auto"/>
    </w:pPr>
  </w:style>
  <w:style w:type="paragraph" w:styleId="NormalWeb">
    <w:name w:val="Normal (Web)"/>
    <w:basedOn w:val="Normal"/>
    <w:uiPriority w:val="99"/>
    <w:semiHidden/>
    <w:unhideWhenUsed/>
    <w:rsid w:val="000F6926"/>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table" w:customStyle="1" w:styleId="Style1">
    <w:name w:val="Style1"/>
    <w:basedOn w:val="TableNormal"/>
    <w:uiPriority w:val="99"/>
    <w:rsid w:val="004A158F"/>
    <w:pPr>
      <w:spacing w:after="0" w:line="240" w:lineRule="auto"/>
    </w:pPr>
    <w:rPr>
      <w:rFonts w:ascii="Arial" w:hAnsi="Arial"/>
    </w:rPr>
    <w:tblPr/>
  </w:style>
  <w:style w:type="paragraph" w:styleId="TableofFigures">
    <w:name w:val="table of figures"/>
    <w:basedOn w:val="Normal"/>
    <w:next w:val="Normal"/>
    <w:uiPriority w:val="99"/>
    <w:unhideWhenUsed/>
    <w:rsid w:val="003121A7"/>
    <w:pPr>
      <w:spacing w:after="0"/>
    </w:pPr>
  </w:style>
  <w:style w:type="paragraph" w:styleId="Index1">
    <w:name w:val="index 1"/>
    <w:basedOn w:val="Normal"/>
    <w:next w:val="Normal"/>
    <w:autoRedefine/>
    <w:uiPriority w:val="99"/>
    <w:unhideWhenUsed/>
    <w:rsid w:val="003121A7"/>
    <w:pPr>
      <w:spacing w:after="0"/>
      <w:ind w:left="220" w:hanging="220"/>
    </w:pPr>
    <w:rPr>
      <w:sz w:val="18"/>
      <w:szCs w:val="18"/>
    </w:rPr>
  </w:style>
  <w:style w:type="paragraph" w:styleId="Index2">
    <w:name w:val="index 2"/>
    <w:basedOn w:val="Normal"/>
    <w:next w:val="Normal"/>
    <w:autoRedefine/>
    <w:uiPriority w:val="99"/>
    <w:unhideWhenUsed/>
    <w:rsid w:val="003121A7"/>
    <w:pPr>
      <w:spacing w:after="0"/>
      <w:ind w:left="440" w:hanging="220"/>
    </w:pPr>
    <w:rPr>
      <w:sz w:val="18"/>
      <w:szCs w:val="18"/>
    </w:rPr>
  </w:style>
  <w:style w:type="paragraph" w:styleId="Index3">
    <w:name w:val="index 3"/>
    <w:basedOn w:val="Normal"/>
    <w:next w:val="Normal"/>
    <w:autoRedefine/>
    <w:uiPriority w:val="99"/>
    <w:unhideWhenUsed/>
    <w:rsid w:val="003121A7"/>
    <w:pPr>
      <w:spacing w:after="0"/>
      <w:ind w:left="660" w:hanging="220"/>
    </w:pPr>
    <w:rPr>
      <w:sz w:val="18"/>
      <w:szCs w:val="18"/>
    </w:rPr>
  </w:style>
  <w:style w:type="paragraph" w:styleId="Index4">
    <w:name w:val="index 4"/>
    <w:basedOn w:val="Normal"/>
    <w:next w:val="Normal"/>
    <w:autoRedefine/>
    <w:uiPriority w:val="99"/>
    <w:unhideWhenUsed/>
    <w:rsid w:val="003121A7"/>
    <w:pPr>
      <w:spacing w:after="0"/>
      <w:ind w:left="880" w:hanging="220"/>
    </w:pPr>
    <w:rPr>
      <w:sz w:val="18"/>
      <w:szCs w:val="18"/>
    </w:rPr>
  </w:style>
  <w:style w:type="paragraph" w:styleId="Index5">
    <w:name w:val="index 5"/>
    <w:basedOn w:val="Normal"/>
    <w:next w:val="Normal"/>
    <w:autoRedefine/>
    <w:uiPriority w:val="99"/>
    <w:unhideWhenUsed/>
    <w:rsid w:val="003121A7"/>
    <w:pPr>
      <w:spacing w:after="0"/>
      <w:ind w:left="1100" w:hanging="220"/>
    </w:pPr>
    <w:rPr>
      <w:sz w:val="18"/>
      <w:szCs w:val="18"/>
    </w:rPr>
  </w:style>
  <w:style w:type="paragraph" w:styleId="Index6">
    <w:name w:val="index 6"/>
    <w:basedOn w:val="Normal"/>
    <w:next w:val="Normal"/>
    <w:autoRedefine/>
    <w:uiPriority w:val="99"/>
    <w:unhideWhenUsed/>
    <w:rsid w:val="003121A7"/>
    <w:pPr>
      <w:spacing w:after="0"/>
      <w:ind w:left="1320" w:hanging="220"/>
    </w:pPr>
    <w:rPr>
      <w:sz w:val="18"/>
      <w:szCs w:val="18"/>
    </w:rPr>
  </w:style>
  <w:style w:type="paragraph" w:styleId="Index7">
    <w:name w:val="index 7"/>
    <w:basedOn w:val="Normal"/>
    <w:next w:val="Normal"/>
    <w:autoRedefine/>
    <w:uiPriority w:val="99"/>
    <w:unhideWhenUsed/>
    <w:rsid w:val="003121A7"/>
    <w:pPr>
      <w:spacing w:after="0"/>
      <w:ind w:left="1540" w:hanging="220"/>
    </w:pPr>
    <w:rPr>
      <w:sz w:val="18"/>
      <w:szCs w:val="18"/>
    </w:rPr>
  </w:style>
  <w:style w:type="paragraph" w:styleId="Index8">
    <w:name w:val="index 8"/>
    <w:basedOn w:val="Normal"/>
    <w:next w:val="Normal"/>
    <w:autoRedefine/>
    <w:uiPriority w:val="99"/>
    <w:unhideWhenUsed/>
    <w:rsid w:val="003121A7"/>
    <w:pPr>
      <w:spacing w:after="0"/>
      <w:ind w:left="1760" w:hanging="220"/>
    </w:pPr>
    <w:rPr>
      <w:sz w:val="18"/>
      <w:szCs w:val="18"/>
    </w:rPr>
  </w:style>
  <w:style w:type="paragraph" w:styleId="Index9">
    <w:name w:val="index 9"/>
    <w:basedOn w:val="Normal"/>
    <w:next w:val="Normal"/>
    <w:autoRedefine/>
    <w:uiPriority w:val="99"/>
    <w:unhideWhenUsed/>
    <w:rsid w:val="003121A7"/>
    <w:pPr>
      <w:spacing w:after="0"/>
      <w:ind w:left="1980" w:hanging="220"/>
    </w:pPr>
    <w:rPr>
      <w:sz w:val="18"/>
      <w:szCs w:val="18"/>
    </w:rPr>
  </w:style>
  <w:style w:type="paragraph" w:styleId="IndexHeading">
    <w:name w:val="index heading"/>
    <w:basedOn w:val="Normal"/>
    <w:next w:val="Index1"/>
    <w:uiPriority w:val="99"/>
    <w:unhideWhenUsed/>
    <w:rsid w:val="003121A7"/>
    <w:pPr>
      <w:spacing w:before="240" w:after="120"/>
      <w:jc w:val="center"/>
    </w:pPr>
    <w:rPr>
      <w:b/>
      <w:bCs/>
      <w:sz w:val="26"/>
      <w:szCs w:val="26"/>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rPr>
      <w:rFonts w:ascii="Arial" w:eastAsia="Arial" w:hAnsi="Arial" w:cs="Arial"/>
    </w:rPr>
    <w:tblPr>
      <w:tblStyleRowBandSize w:val="1"/>
      <w:tblStyleColBandSize w:val="1"/>
    </w:tblPr>
  </w:style>
  <w:style w:type="table" w:customStyle="1" w:styleId="a3">
    <w:basedOn w:val="TableNormal"/>
    <w:pPr>
      <w:spacing w:after="0" w:line="240" w:lineRule="auto"/>
    </w:pPr>
    <w:rPr>
      <w:rFonts w:ascii="Arial" w:eastAsia="Arial" w:hAnsi="Arial" w:cs="Arial"/>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paragraph" w:styleId="FootnoteText">
    <w:name w:val="footnote text"/>
    <w:basedOn w:val="Normal"/>
    <w:link w:val="FootnoteTextChar"/>
    <w:uiPriority w:val="99"/>
    <w:semiHidden/>
    <w:unhideWhenUsed/>
    <w:rsid w:val="001151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151C3"/>
    <w:rPr>
      <w:sz w:val="20"/>
      <w:szCs w:val="20"/>
    </w:rPr>
  </w:style>
  <w:style w:type="character" w:styleId="FootnoteReference">
    <w:name w:val="footnote reference"/>
    <w:basedOn w:val="DefaultParagraphFont"/>
    <w:uiPriority w:val="99"/>
    <w:semiHidden/>
    <w:unhideWhenUsed/>
    <w:rsid w:val="001151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395457">
      <w:bodyDiv w:val="1"/>
      <w:marLeft w:val="0"/>
      <w:marRight w:val="0"/>
      <w:marTop w:val="0"/>
      <w:marBottom w:val="0"/>
      <w:divBdr>
        <w:top w:val="none" w:sz="0" w:space="0" w:color="auto"/>
        <w:left w:val="none" w:sz="0" w:space="0" w:color="auto"/>
        <w:bottom w:val="none" w:sz="0" w:space="0" w:color="auto"/>
        <w:right w:val="none" w:sz="0" w:space="0" w:color="auto"/>
      </w:divBdr>
      <w:divsChild>
        <w:div w:id="522983325">
          <w:marLeft w:val="0"/>
          <w:marRight w:val="0"/>
          <w:marTop w:val="0"/>
          <w:marBottom w:val="0"/>
          <w:divBdr>
            <w:top w:val="none" w:sz="0" w:space="0" w:color="auto"/>
            <w:left w:val="none" w:sz="0" w:space="0" w:color="auto"/>
            <w:bottom w:val="none" w:sz="0" w:space="0" w:color="auto"/>
            <w:right w:val="none" w:sz="0" w:space="0" w:color="auto"/>
          </w:divBdr>
          <w:divsChild>
            <w:div w:id="1305238532">
              <w:marLeft w:val="0"/>
              <w:marRight w:val="0"/>
              <w:marTop w:val="0"/>
              <w:marBottom w:val="0"/>
              <w:divBdr>
                <w:top w:val="none" w:sz="0" w:space="0" w:color="auto"/>
                <w:left w:val="none" w:sz="0" w:space="0" w:color="auto"/>
                <w:bottom w:val="none" w:sz="0" w:space="0" w:color="auto"/>
                <w:right w:val="none" w:sz="0" w:space="0" w:color="auto"/>
              </w:divBdr>
              <w:divsChild>
                <w:div w:id="2606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61708">
          <w:marLeft w:val="0"/>
          <w:marRight w:val="0"/>
          <w:marTop w:val="0"/>
          <w:marBottom w:val="0"/>
          <w:divBdr>
            <w:top w:val="none" w:sz="0" w:space="0" w:color="auto"/>
            <w:left w:val="none" w:sz="0" w:space="0" w:color="auto"/>
            <w:bottom w:val="none" w:sz="0" w:space="0" w:color="auto"/>
            <w:right w:val="none" w:sz="0" w:space="0" w:color="auto"/>
          </w:divBdr>
          <w:divsChild>
            <w:div w:id="2025207925">
              <w:marLeft w:val="0"/>
              <w:marRight w:val="0"/>
              <w:marTop w:val="0"/>
              <w:marBottom w:val="0"/>
              <w:divBdr>
                <w:top w:val="none" w:sz="0" w:space="0" w:color="auto"/>
                <w:left w:val="none" w:sz="0" w:space="0" w:color="auto"/>
                <w:bottom w:val="none" w:sz="0" w:space="0" w:color="auto"/>
                <w:right w:val="none" w:sz="0" w:space="0" w:color="auto"/>
              </w:divBdr>
              <w:divsChild>
                <w:div w:id="19643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959278">
      <w:bodyDiv w:val="1"/>
      <w:marLeft w:val="0"/>
      <w:marRight w:val="0"/>
      <w:marTop w:val="0"/>
      <w:marBottom w:val="0"/>
      <w:divBdr>
        <w:top w:val="none" w:sz="0" w:space="0" w:color="auto"/>
        <w:left w:val="none" w:sz="0" w:space="0" w:color="auto"/>
        <w:bottom w:val="none" w:sz="0" w:space="0" w:color="auto"/>
        <w:right w:val="none" w:sz="0" w:space="0" w:color="auto"/>
      </w:divBdr>
      <w:divsChild>
        <w:div w:id="954604604">
          <w:marLeft w:val="0"/>
          <w:marRight w:val="0"/>
          <w:marTop w:val="0"/>
          <w:marBottom w:val="0"/>
          <w:divBdr>
            <w:top w:val="none" w:sz="0" w:space="0" w:color="auto"/>
            <w:left w:val="none" w:sz="0" w:space="0" w:color="auto"/>
            <w:bottom w:val="none" w:sz="0" w:space="0" w:color="auto"/>
            <w:right w:val="none" w:sz="0" w:space="0" w:color="auto"/>
          </w:divBdr>
          <w:divsChild>
            <w:div w:id="379284799">
              <w:marLeft w:val="0"/>
              <w:marRight w:val="0"/>
              <w:marTop w:val="0"/>
              <w:marBottom w:val="0"/>
              <w:divBdr>
                <w:top w:val="none" w:sz="0" w:space="0" w:color="auto"/>
                <w:left w:val="none" w:sz="0" w:space="0" w:color="auto"/>
                <w:bottom w:val="none" w:sz="0" w:space="0" w:color="auto"/>
                <w:right w:val="none" w:sz="0" w:space="0" w:color="auto"/>
              </w:divBdr>
              <w:divsChild>
                <w:div w:id="6181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34379">
          <w:marLeft w:val="0"/>
          <w:marRight w:val="0"/>
          <w:marTop w:val="0"/>
          <w:marBottom w:val="0"/>
          <w:divBdr>
            <w:top w:val="none" w:sz="0" w:space="0" w:color="auto"/>
            <w:left w:val="none" w:sz="0" w:space="0" w:color="auto"/>
            <w:bottom w:val="none" w:sz="0" w:space="0" w:color="auto"/>
            <w:right w:val="none" w:sz="0" w:space="0" w:color="auto"/>
          </w:divBdr>
          <w:divsChild>
            <w:div w:id="870919973">
              <w:marLeft w:val="0"/>
              <w:marRight w:val="0"/>
              <w:marTop w:val="0"/>
              <w:marBottom w:val="0"/>
              <w:divBdr>
                <w:top w:val="none" w:sz="0" w:space="0" w:color="auto"/>
                <w:left w:val="none" w:sz="0" w:space="0" w:color="auto"/>
                <w:bottom w:val="none" w:sz="0" w:space="0" w:color="auto"/>
                <w:right w:val="none" w:sz="0" w:space="0" w:color="auto"/>
              </w:divBdr>
              <w:divsChild>
                <w:div w:id="110284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Con bandas">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on banda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on bandas">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ViIphnNkNAY7AIwJCEKNYFMn7g==">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</go:docsCustomData>
</go:gDocsCustomXmlDataStorage>
</file>

<file path=customXml/itemProps1.xml><?xml version="1.0" encoding="utf-8"?>
<ds:datastoreItem xmlns:ds="http://schemas.openxmlformats.org/officeDocument/2006/customXml" ds:itemID="{97335C6E-7AB2-5649-A003-BD99CBF3D11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13863</Words>
  <Characters>79023</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Roberto Castañeda</dc:creator>
  <cp:lastModifiedBy>José Roberto Castañeda</cp:lastModifiedBy>
  <cp:revision>2</cp:revision>
  <dcterms:created xsi:type="dcterms:W3CDTF">2024-09-12T20:21:00Z</dcterms:created>
  <dcterms:modified xsi:type="dcterms:W3CDTF">2024-09-12T20:21:00Z</dcterms:modified>
</cp:coreProperties>
</file>