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FF072" w14:textId="77777777" w:rsidR="001815AC" w:rsidRPr="0057078F" w:rsidRDefault="00000000" w:rsidP="0057078F">
      <w:pPr>
        <w:spacing w:after="0" w:line="276" w:lineRule="auto"/>
        <w:jc w:val="center"/>
        <w:rPr>
          <w:rFonts w:ascii="Calibri" w:eastAsia="Times New Roman" w:hAnsi="Calibri" w:cs="Calibri"/>
          <w:sz w:val="24"/>
          <w:szCs w:val="24"/>
        </w:rPr>
      </w:pPr>
      <w:bookmarkStart w:id="0" w:name="_heading=h.gjdgxs" w:colFirst="0" w:colLast="0"/>
      <w:bookmarkEnd w:id="0"/>
      <w:r>
        <w:rPr>
          <w:rFonts w:ascii="Calibri" w:eastAsia="Calibri" w:hAnsi="Calibri" w:cs="Calibri"/>
          <w:b/>
          <w:color w:val="000000"/>
          <w:sz w:val="24"/>
          <w:szCs w:val="24"/>
        </w:rPr>
        <w:t>AUTORIZACIÓN</w:t>
      </w:r>
    </w:p>
    <w:tbl>
      <w:tblPr>
        <w:tblStyle w:val="a0"/>
        <w:tblW w:w="9440" w:type="dxa"/>
        <w:tblLayout w:type="fixed"/>
        <w:tblLook w:val="0400" w:firstRow="0" w:lastRow="0" w:firstColumn="0" w:lastColumn="0" w:noHBand="0" w:noVBand="1"/>
      </w:tblPr>
      <w:tblGrid>
        <w:gridCol w:w="1090"/>
        <w:gridCol w:w="2768"/>
        <w:gridCol w:w="3000"/>
        <w:gridCol w:w="1146"/>
        <w:gridCol w:w="1436"/>
      </w:tblGrid>
      <w:tr w:rsidR="001815AC" w:rsidRPr="0057078F" w14:paraId="04F59FE5" w14:textId="77777777">
        <w:trPr>
          <w:trHeight w:val="302"/>
        </w:trPr>
        <w:tc>
          <w:tcPr>
            <w:tcW w:w="109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D082A3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Función </w:t>
            </w:r>
          </w:p>
        </w:tc>
        <w:tc>
          <w:tcPr>
            <w:tcW w:w="2768"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D477F7B"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Nombre </w:t>
            </w:r>
          </w:p>
        </w:tc>
        <w:tc>
          <w:tcPr>
            <w:tcW w:w="300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AF257D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Cargo </w:t>
            </w:r>
          </w:p>
        </w:tc>
        <w:tc>
          <w:tcPr>
            <w:tcW w:w="114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E1FC75E"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Evidencia</w:t>
            </w:r>
          </w:p>
        </w:tc>
        <w:tc>
          <w:tcPr>
            <w:tcW w:w="143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44301DD7"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r>
      <w:tr w:rsidR="001815AC" w:rsidRPr="0057078F" w14:paraId="48C75413" w14:textId="77777777">
        <w:trPr>
          <w:trHeight w:val="617"/>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3BF0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Elabora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2BAA"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José Roberto Castañeda Arriola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8FFB6" w14:textId="77777777" w:rsidR="001815AC" w:rsidRPr="0057078F" w:rsidRDefault="00000000" w:rsidP="0057078F">
            <w:pPr>
              <w:spacing w:after="0" w:line="276" w:lineRule="auto"/>
              <w:ind w:left="304" w:right="239"/>
              <w:jc w:val="center"/>
              <w:rPr>
                <w:rFonts w:ascii="Calibri" w:eastAsia="Times New Roman" w:hAnsi="Calibri" w:cs="Calibri"/>
                <w:sz w:val="24"/>
                <w:szCs w:val="24"/>
              </w:rPr>
            </w:pPr>
            <w:r>
              <w:rPr>
                <w:rFonts w:ascii="Calibri" w:eastAsia="Calibri" w:hAnsi="Calibri" w:cs="Calibri"/>
                <w:color w:val="000000"/>
                <w:sz w:val="24"/>
                <w:szCs w:val="24"/>
              </w:rPr>
              <w:t xml:space="preserve">Asesor legal externo (AMC Legal)</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6B29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5ED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10-09-2026</w:t>
            </w:r>
          </w:p>
        </w:tc>
      </w:tr>
      <w:tr w:rsidR="001815AC" w:rsidRPr="0057078F" w14:paraId="60BE4873" w14:textId="77777777">
        <w:trPr>
          <w:trHeight w:val="750"/>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1262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Revisa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2A54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Eduardo Frances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B643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808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E8558" w14:textId="01898352"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Pendiente</w:t>
            </w:r>
          </w:p>
        </w:tc>
      </w:tr>
      <w:tr w:rsidR="001815AC" w:rsidRPr="0057078F" w14:paraId="1EE1309F" w14:textId="77777777">
        <w:trPr>
          <w:trHeight w:val="586"/>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E488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Aprueba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553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José Mario Ávila Palomo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AF7F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CEO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9D4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A0290"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Pendiente</w:t>
            </w:r>
          </w:p>
        </w:tc>
      </w:tr>
    </w:tbl>
    <w:p w14:paraId="4013033A" w14:textId="77777777" w:rsidR="001815AC" w:rsidRPr="0057078F" w:rsidRDefault="001815AC" w:rsidP="0057078F">
      <w:pPr>
        <w:spacing w:after="0" w:line="276" w:lineRule="auto"/>
        <w:rPr>
          <w:rFonts w:ascii="Calibri" w:eastAsia="Times New Roman" w:hAnsi="Calibri" w:cs="Calibri"/>
          <w:sz w:val="24"/>
          <w:szCs w:val="24"/>
        </w:rPr>
      </w:pPr>
    </w:p>
    <w:p w14:paraId="346F9C24" w14:textId="77777777" w:rsidR="001815AC" w:rsidRPr="0057078F" w:rsidRDefault="00000000" w:rsidP="0057078F">
      <w:pPr>
        <w:spacing w:after="0" w:line="276" w:lineRule="auto"/>
        <w:ind w:left="1001"/>
        <w:jc w:val="center"/>
        <w:rPr>
          <w:rFonts w:ascii="Calibri" w:eastAsia="Times New Roman" w:hAnsi="Calibri" w:cs="Calibri"/>
          <w:sz w:val="24"/>
          <w:szCs w:val="24"/>
        </w:rPr>
      </w:pPr>
      <w:r>
        <w:rPr>
          <w:rFonts w:ascii="Calibri" w:eastAsia="Calibri" w:hAnsi="Calibri" w:cs="Calibri"/>
          <w:b/>
          <w:color w:val="000000"/>
          <w:sz w:val="24"/>
          <w:szCs w:val="24"/>
        </w:rPr>
        <w:t>REGISTRO DE REVISIONES</w:t>
      </w:r>
    </w:p>
    <w:tbl>
      <w:tblPr>
        <w:tblStyle w:val="a1"/>
        <w:tblW w:w="6015" w:type="dxa"/>
        <w:tblInd w:w="1916" w:type="dxa"/>
        <w:tblLayout w:type="fixed"/>
        <w:tblLook w:val="0400" w:firstRow="0" w:lastRow="0" w:firstColumn="0" w:lastColumn="0" w:noHBand="0" w:noVBand="1"/>
      </w:tblPr>
      <w:tblGrid>
        <w:gridCol w:w="840"/>
        <w:gridCol w:w="1560"/>
        <w:gridCol w:w="1230"/>
        <w:gridCol w:w="2385"/>
      </w:tblGrid>
      <w:tr w:rsidR="001815AC" w:rsidRPr="0057078F" w14:paraId="5237D5EA" w14:textId="77777777">
        <w:trPr>
          <w:trHeight w:val="765"/>
        </w:trPr>
        <w:tc>
          <w:tcPr>
            <w:tcW w:w="84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38C5E346"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w:t>
            </w:r>
          </w:p>
        </w:tc>
        <w:tc>
          <w:tcPr>
            <w:tcW w:w="156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1AACD83D"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c>
          <w:tcPr>
            <w:tcW w:w="123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73F04D89"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Sección</w:t>
            </w:r>
          </w:p>
        </w:tc>
        <w:tc>
          <w:tcPr>
            <w:tcW w:w="2385"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64DB7582"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Descripción de cambios</w:t>
            </w:r>
          </w:p>
        </w:tc>
      </w:tr>
      <w:tr w:rsidR="001815AC" w:rsidRPr="0057078F" w14:paraId="3C0318EE" w14:textId="77777777">
        <w:trPr>
          <w:trHeight w:val="324"/>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65C1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00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8597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29-08-2024</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C118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Todo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93AD8"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Creación del documento</w:t>
            </w:r>
          </w:p>
        </w:tc>
      </w:tr>
      <w:tr w:rsidR="001815AC" w:rsidRPr="0057078F" w14:paraId="3C0318EE" w14:textId="77777777">
        <w:trPr>
          <w:trHeight w:val="324"/>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65C1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01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8597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10-09-2026</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C118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Todo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93AD8"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Actualización integral al Decreto 15-2026; reestructuración como manual marco con documentos complementarios independientes</w:t>
            </w:r>
          </w:p>
        </w:tc>
      </w:tr>
      <w:tr w:rsidR="001815AC" w:rsidRPr="0057078F" w14:paraId="087068AC" w14:textId="77777777">
        <w:trPr>
          <w:trHeight w:val="302"/>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03F98"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F4A1F3"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F5F186"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3F5A1A" w14:textId="77777777" w:rsidR="001815AC" w:rsidRPr="0057078F" w:rsidRDefault="001815AC" w:rsidP="0057078F">
            <w:pPr>
              <w:spacing w:after="0" w:line="276" w:lineRule="auto"/>
              <w:jc w:val="center"/>
              <w:rPr>
                <w:rFonts w:ascii="Calibri" w:eastAsia="Calibri" w:hAnsi="Calibri" w:cs="Calibri"/>
                <w:color w:val="000000"/>
                <w:sz w:val="24"/>
                <w:szCs w:val="24"/>
              </w:rPr>
            </w:pPr>
          </w:p>
        </w:tc>
      </w:tr>
    </w:tbl>
    <w:p w14:paraId="5B6C3E10" w14:textId="77777777" w:rsidR="001815AC" w:rsidRPr="0057078F" w:rsidRDefault="001815AC" w:rsidP="0057078F">
      <w:pPr>
        <w:spacing w:line="276" w:lineRule="auto"/>
        <w:jc w:val="center"/>
        <w:rPr>
          <w:rFonts w:ascii="Calibri" w:eastAsia="Calibri" w:hAnsi="Calibri" w:cs="Calibri"/>
          <w:color w:val="1A1A1A"/>
          <w:sz w:val="24"/>
          <w:szCs w:val="24"/>
        </w:rPr>
      </w:pPr>
    </w:p>
    <w:p w14:paraId="6295D2C3"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28C372B6" w14:textId="77777777" w:rsidR="001815AC" w:rsidRPr="0057078F" w:rsidRDefault="001815AC" w:rsidP="0057078F">
      <w:pPr>
        <w:spacing w:line="276" w:lineRule="auto"/>
        <w:rPr>
          <w:rFonts w:ascii="Calibri" w:eastAsia="Calibri" w:hAnsi="Calibri" w:cs="Calibri"/>
          <w:color w:val="1A1A1A"/>
          <w:sz w:val="24"/>
          <w:szCs w:val="24"/>
        </w:rPr>
      </w:pPr>
    </w:p>
    <w:p w14:paraId="6D146ADC" w14:textId="77777777" w:rsidR="001815AC" w:rsidRPr="0057078F" w:rsidRDefault="00000000" w:rsidP="0057078F">
      <w:pPr>
        <w:pBdr>
          <w:top w:val="nil"/>
          <w:left w:val="nil"/>
          <w:bottom w:val="nil"/>
          <w:right w:val="nil"/>
          <w:between w:val="nil"/>
        </w:pBdr>
        <w:spacing w:after="0" w:line="276" w:lineRule="auto"/>
        <w:rPr>
          <w:rFonts w:ascii="Calibri" w:eastAsia="Calibri" w:hAnsi="Calibri" w:cs="Calibri"/>
          <w:color w:val="1A1A1A"/>
          <w:sz w:val="24"/>
          <w:szCs w:val="24"/>
        </w:rPr>
      </w:pPr>
      <w:bookmarkStart w:id="5" w:name="_heading=h.30j0zll" w:colFirst="0" w:colLast="0"/>
      <w:bookmarkEnd w:id="5"/>
      <w:r>
        <w:rPr>
          <w:rFonts w:ascii="Calibri" w:eastAsia="Calibri" w:hAnsi="Calibri" w:cs="Calibri"/>
          <w:color w:val="1A1A1A"/>
          <w:sz w:val="24"/>
          <w:szCs w:val="24"/>
        </w:rPr>
        <w:t>Contenido</w:t>
      </w:r>
    </w:p>
    <w:sdt>
      <w:sdtPr>
        <w:rPr>
          <w:rFonts w:ascii="Calibri" w:hAnsi="Calibri" w:cs="Calibri"/>
          <w:sz w:val="24"/>
          <w:szCs w:val="24"/>
        </w:rPr>
        <w:id w:val="-1319574186"/>
        <w:docPartObj>
          <w:docPartGallery w:val="Table of Contents"/>
          <w:docPartUnique/>
        </w:docPartObj>
      </w:sdtPr>
      <w:sdtContent>
        <w:p w14:paraId="5A6BD5AD" w14:textId="41C2690D" w:rsidR="00642217" w:rsidRDefault="00000000">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Fonts w:ascii="Calibri" w:hAnsi="Calibri" w:cs="Calibri"/>
              <w:sz w:val="24"/>
              <w:szCs w:val="24"/>
            </w:rPr>
            <w:fldChar w:fldCharType="begin"/>
            <w:instrText xml:space="preserve"> TOC \h \u \z \t "Heading 1,1,Heading 2,2,Heading 3,3,"</w:instrText>
            <w:fldChar w:fldCharType="separate"/>
          </w:r>
          <w:r>
            <w:rPr>
              <w:rStyle w:val="Hyperlink"/>
              <w:noProof/>
            </w:rPr>
            <w:fldChar w:fldCharType="begin"/>
            <w:instrText xml:space="preserve"> </w:instrText>
          </w:r>
          <w:r>
            <w:rPr>
              <w:noProof/>
            </w:rPr>
            <w:instrText>HYPERLINK \l "_Toc176997886"</w:instrText>
          </w:r>
          <w:r>
            <w:rPr>
              <w:rStyle w:val="Hyperlink"/>
              <w:noProof/>
            </w:rPr>
            <w:instrText xml:space="preserve"> </w:instrText>
            <w:fldChar w:fldCharType="separate"/>
          </w:r>
          <w:r>
            <w:rPr>
              <w:rStyle w:val="Hyperlink"/>
              <w:rFonts w:cs="Calibri"/>
              <w:noProof/>
            </w:rPr>
            <w:t>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INTRODUCCIÓN</w:t>
          </w:r>
          <w:r>
            <w:rPr>
              <w:noProof/>
              <w:webHidden/>
            </w:rPr>
            <w:tab/>
            <w:fldChar w:fldCharType="begin"/>
            <w:instrText xml:space="preserve"> PAGEREF _Toc176997886 \h </w:instrText>
            <w:fldChar w:fldCharType="separate"/>
            <w:t>7</w:t>
            <w:fldChar w:fldCharType="end"/>
          </w:r>
          <w:r>
            <w:rPr>
              <w:rStyle w:val="Hyperlink"/>
              <w:noProof/>
            </w:rPr>
            <w:fldChar w:fldCharType="end"/>
          </w:r>
        </w:p>
        <w:p w14:paraId="75F129DB" w14:textId="6DC2FC7A"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"_Toc176997887"</w:instrText>
          </w:r>
          <w:r>
            <w:rPr>
              <w:rStyle w:val="Hyperlink"/>
              <w:noProof/>
            </w:rPr>
            <w:instrText xml:space="preserve"> </w:instrText>
            <w:fldChar w:fldCharType="separate"/>
          </w:r>
          <w:r>
            <w:rPr>
              <w:rStyle w:val="Hyperlink"/>
              <w:rFonts w:cs="Calibri"/>
              <w:noProof/>
            </w:rPr>
            <w:t>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OBJETIVOS</w:t>
          </w:r>
          <w:r>
            <w:rPr>
              <w:noProof/>
              <w:webHidden/>
            </w:rPr>
            <w:tab/>
            <w:fldChar w:fldCharType="begin"/>
            <w:instrText xml:space="preserve"> PAGEREF _Toc176997887 \h </w:instrText>
            <w:fldChar w:fldCharType="separate"/>
            <w:t>8</w:t>
            <w:fldChar w:fldCharType="end"/>
          </w:r>
          <w:r>
            <w:rPr>
              <w:rStyle w:val="Hyperlink"/>
              <w:noProof/>
            </w:rPr>
            <w:fldChar w:fldCharType="end"/>
          </w:r>
        </w:p>
        <w:p w14:paraId="3FDFB8DC" w14:textId="4CE82EB8"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GENERALES</w:t>
          </w:r>
          <w:r>
            <w:rPr>
              <w:webHidden/>
            </w:rPr>
            <w:tab/>
            <w:fldChar w:fldCharType="begin"/>
            <w:instrText xml:space="preserve"> PAGEREF _Toc176997888 \h </w:instrText>
            <w:fldChar w:fldCharType="separate"/>
            <w:t>8</w:t>
            <w:fldChar w:fldCharType="end"/>
          </w:r>
          <w:r>
            <w:rPr>
              <w:rStyle w:val="Hyperlink"/>
            </w:rPr>
            <w:fldChar w:fldCharType="end"/>
          </w:r>
        </w:p>
        <w:p w14:paraId="04C3A4F8" w14:textId="432B678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"_Toc176997889"</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ESPECÍFICOS</w:t>
          </w:r>
          <w:r>
            <w:rPr>
              <w:webHidden/>
            </w:rPr>
            <w:tab/>
            <w:fldChar w:fldCharType="begin"/>
            <w:instrText xml:space="preserve"> PAGEREF _Toc176997889 \h </w:instrText>
            <w:fldChar w:fldCharType="separate"/>
            <w:t>8</w:t>
            <w:fldChar w:fldCharType="end"/>
          </w:r>
          <w:r>
            <w:rPr>
              <w:rStyle w:val="Hyperlink"/>
            </w:rPr>
            <w:fldChar w:fldCharType="end"/>
          </w:r>
        </w:p>
        <w:p w14:paraId="609C77C9" w14:textId="2D43ABD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"_Toc176997890"</w:instrText>
          </w:r>
          <w:r>
            <w:rPr>
              <w:rStyle w:val="Hyperlink"/>
              <w:noProof/>
            </w:rPr>
            <w:instrText xml:space="preserve"> </w:instrText>
            <w:fldChar w:fldCharType="separate"/>
          </w:r>
          <w:r>
            <w:rPr>
              <w:rStyle w:val="Hyperlink"/>
              <w:rFonts w:cs="Calibri"/>
              <w:noProof/>
            </w:rPr>
            <w:t>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ALCANCE</w:t>
          </w:r>
          <w:r>
            <w:rPr>
              <w:noProof/>
              <w:webHidden/>
            </w:rPr>
            <w:tab/>
            <w:fldChar w:fldCharType="begin"/>
            <w:instrText xml:space="preserve"> PAGEREF _Toc176997890 \h </w:instrText>
            <w:fldChar w:fldCharType="separate"/>
            <w:t>8</w:t>
            <w:fldChar w:fldCharType="end"/>
          </w:r>
          <w:r>
            <w:rPr>
              <w:rStyle w:val="Hyperlink"/>
              <w:noProof/>
            </w:rPr>
            <w:fldChar w:fldCharType="end"/>
          </w:r>
        </w:p>
        <w:p w14:paraId="6DAC54F9" w14:textId="63EF9E7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"_Toc176997891"</w:instrText>
          </w:r>
          <w:r>
            <w:rPr>
              <w:rStyle w:val="Hyperlink"/>
              <w:noProof/>
            </w:rPr>
            <w:instrText xml:space="preserve"> </w:instrText>
            <w:fldChar w:fldCharType="separate"/>
          </w:r>
          <w:r>
            <w:rPr>
              <w:rStyle w:val="Hyperlink"/>
              <w:rFonts w:cs="Calibri"/>
              <w:noProof/>
            </w:rPr>
            <w:t>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NORMATIVA APLICABLE</w:t>
          </w:r>
          <w:r>
            <w:rPr>
              <w:noProof/>
              <w:webHidden/>
            </w:rPr>
            <w:tab/>
            <w:fldChar w:fldCharType="begin"/>
            <w:instrText xml:space="preserve"> PAGEREF _Toc176997891 \h </w:instrText>
            <w:fldChar w:fldCharType="separate"/>
            <w:t>8</w:t>
            <w:fldChar w:fldCharType="end"/>
          </w:r>
          <w:r>
            <w:rPr>
              <w:rStyle w:val="Hyperlink"/>
              <w:noProof/>
            </w:rPr>
            <w:fldChar w:fldCharType="end"/>
          </w:r>
        </w:p>
        <w:p w14:paraId="0744D76F" w14:textId="3205DCA6"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"_Toc176997892"</w:instrText>
          </w:r>
          <w:r>
            <w:rPr>
              <w:rStyle w:val="Hyperlink"/>
              <w:noProof/>
            </w:rPr>
            <w:instrText xml:space="preserve"> </w:instrText>
            <w:fldChar w:fldCharType="separate"/>
          </w:r>
          <w:r>
            <w:rPr>
              <w:rStyle w:val="Hyperlink"/>
              <w:rFonts w:cs="Calibri"/>
              <w:noProof/>
            </w:rPr>
            <w:t>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GLOSARIO</w:t>
          </w:r>
          <w:r>
            <w:rPr>
              <w:noProof/>
              <w:webHidden/>
            </w:rPr>
            <w:tab/>
            <w:fldChar w:fldCharType="begin"/>
            <w:instrText xml:space="preserve"> PAGEREF _Toc176997892 \h </w:instrText>
            <w:fldChar w:fldCharType="separate"/>
            <w:t>9</w:t>
            <w:fldChar w:fldCharType="end"/>
          </w:r>
          <w:r>
            <w:rPr>
              <w:rStyle w:val="Hyperlink"/>
              <w:noProof/>
            </w:rPr>
            <w:fldChar w:fldCharType="end"/>
          </w:r>
        </w:p>
        <w:p w14:paraId="77098447" w14:textId="2330B88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"_Toc176997893"</w:instrText>
          </w:r>
          <w:r>
            <w:rPr>
              <w:rStyle w:val="Hyperlink"/>
              <w:noProof/>
            </w:rPr>
            <w:instrText xml:space="preserve"> </w:instrText>
            <w:fldChar w:fldCharType="separate"/>
          </w:r>
          <w:r>
            <w:rPr>
              <w:rStyle w:val="Hyperlink"/>
              <w:rFonts w:cs="Calibri"/>
              <w:noProof/>
            </w:rPr>
            <w:t>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ESTRUCTURA ORGANIZATIVA PARA LA PREVENCIÓN DE LOS DELITOS DE LDA/FT/FPADM</w:t>
          </w:r>
          <w:r>
            <w:rPr>
              <w:noProof/>
              <w:webHidden/>
            </w:rPr>
            <w:tab/>
            <w:fldChar w:fldCharType="begin"/>
            <w:instrText xml:space="preserve"> PAGEREF _Toc176997893 \h </w:instrText>
            <w:fldChar w:fldCharType="separate"/>
            <w:t>13</w:t>
            <w:fldChar w:fldCharType="end"/>
          </w:r>
          <w:r>
            <w:rPr>
              <w:rStyle w:val="Hyperlink"/>
              <w:noProof/>
            </w:rPr>
            <w:fldChar w:fldCharType="end"/>
          </w:r>
        </w:p>
        <w:p w14:paraId="43249885" w14:textId="0724DD5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GENERALES</w:t>
          </w:r>
          <w:r>
            <w:rPr>
              <w:webHidden/>
            </w:rPr>
            <w:tab/>
            <w:fldChar w:fldCharType="begin"/>
            <w:instrText xml:space="preserve"> PAGEREF _Toc176997894 \h </w:instrText>
            <w:fldChar w:fldCharType="separate"/>
            <w:t>13</w:t>
            <w:fldChar w:fldCharType="end"/>
          </w:r>
          <w:r>
            <w:rPr>
              <w:rStyle w:val="Hyperlink"/>
            </w:rPr>
            <w:fldChar w:fldCharType="end"/>
          </w:r>
        </w:p>
        <w:p w14:paraId="6DFC028D" w14:textId="10C0F43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ESPECÍFICAS</w:t>
          </w:r>
          <w:r>
            <w:rPr>
              <w:webHidden/>
            </w:rPr>
            <w:tab/>
            <w:fldChar w:fldCharType="begin"/>
            <w:instrText xml:space="preserve"> PAGEREF _Toc176997895 \h </w:instrText>
            <w:fldChar w:fldCharType="separate"/>
            <w:t>14</w:t>
            <w:fldChar w:fldCharType="end"/>
          </w:r>
          <w:r>
            <w:rPr>
              <w:rStyle w:val="Hyperlink"/>
            </w:rPr>
            <w:fldChar w:fldCharType="end"/>
          </w:r>
        </w:p>
        <w:p w14:paraId="77FACC10" w14:textId="234CE19F"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"_Toc176997896"</w:instrText>
          </w:r>
          <w:r>
            <w:rPr>
              <w:rStyle w:val="Hyperlink"/>
              <w:noProof/>
            </w:rPr>
            <w:instrText xml:space="preserve"> </w:instrText>
            <w:fldChar w:fldCharType="separate"/>
          </w:r>
          <w:r>
            <w:rPr>
              <w:rStyle w:val="Hyperlink"/>
              <w:rFonts w:ascii="Calibri" w:eastAsia="Calibri" w:hAnsi="Calibri" w:cs="Calibri"/>
              <w:noProof/>
            </w:rPr>
            <w:t>1. Asamblea de Accionistas</w:t>
          </w:r>
          <w:r>
            <w:rPr>
              <w:noProof/>
              <w:webHidden/>
            </w:rPr>
            <w:tab/>
            <w:fldChar w:fldCharType="begin"/>
            <w:instrText xml:space="preserve"> PAGEREF _Toc176997896 \h </w:instrText>
            <w:fldChar w:fldCharType="separate"/>
            <w:t>14</w:t>
            <w:fldChar w:fldCharType="end"/>
          </w:r>
          <w:r>
            <w:rPr>
              <w:rStyle w:val="Hyperlink"/>
              <w:noProof/>
            </w:rPr>
            <w:fldChar w:fldCharType="end"/>
          </w:r>
        </w:p>
        <w:p w14:paraId="6B7370EE" w14:textId="63FB0A51"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"_Toc176997897"</w:instrText>
          </w:r>
          <w:r>
            <w:rPr>
              <w:rStyle w:val="Hyperlink"/>
              <w:noProof/>
            </w:rPr>
            <w:instrText xml:space="preserve"> </w:instrText>
            <w:fldChar w:fldCharType="separate"/>
          </w:r>
          <w:r>
            <w:rPr>
              <w:rStyle w:val="Hyperlink"/>
              <w:rFonts w:ascii="Calibri" w:eastAsia="Calibri" w:hAnsi="Calibri" w:cs="Calibri"/>
              <w:noProof/>
            </w:rPr>
            <w:t xml:space="preserve">2. </w:t>
          </w:r>
          <w:r>
            <w:rPr>
              <w:rStyle w:val="Hyperlink"/>
              <w:rFonts w:ascii="Calibri" w:eastAsia="Calibri" w:hAnsi="Calibri" w:cs="Calibri"/>
              <w:b/>
              <w:noProof/>
            </w:rPr>
            <w:t>OFICIAL DE CUMPLIMIENTO Y OFICIAL DE CUMPLIMIENTO SUPLENTE</w:t>
          </w:r>
          <w:r>
            <w:rPr>
              <w:noProof/>
              <w:webHidden/>
            </w:rPr>
            <w:tab/>
            <w:fldChar w:fldCharType="begin"/>
            <w:instrText xml:space="preserve"> PAGEREF _Toc176997897 \h </w:instrText>
            <w:fldChar w:fldCharType="separate"/>
            <w:t>16</w:t>
            <w:fldChar w:fldCharType="end"/>
          </w:r>
          <w:r>
            <w:rPr>
              <w:rStyle w:val="Hyperlink"/>
              <w:noProof/>
            </w:rPr>
            <w:fldChar w:fldCharType="end"/>
          </w:r>
        </w:p>
        <w:p w14:paraId="46C042B0" w14:textId="516812F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"_Toc176997898"</w:instrText>
          </w:r>
          <w:r>
            <w:rPr>
              <w:rStyle w:val="Hyperlink"/>
              <w:noProof/>
            </w:rPr>
            <w:instrText xml:space="preserve"> </w:instrText>
            <w:fldChar w:fldCharType="separate"/>
          </w:r>
          <w:r>
            <w:rPr>
              <w:rStyle w:val="Hyperlink"/>
              <w:rFonts w:cs="Calibri"/>
              <w:noProof/>
            </w:rPr>
            <w:t>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POLÍTICAS DE CONOCIMIENTO DE CLIENTES</w:t>
          </w:r>
          <w:r>
            <w:rPr>
              <w:noProof/>
              <w:webHidden/>
            </w:rPr>
            <w:tab/>
            <w:fldChar w:fldCharType="begin"/>
            <w:instrText xml:space="preserve"> PAGEREF _Toc176997898 \h </w:instrText>
            <w:fldChar w:fldCharType="separate"/>
            <w:t>20</w:t>
            <w:fldChar w:fldCharType="end"/>
          </w:r>
          <w:r>
            <w:rPr>
              <w:rStyle w:val="Hyperlink"/>
              <w:noProof/>
            </w:rPr>
            <w:fldChar w:fldCharType="end"/>
          </w:r>
        </w:p>
        <w:p w14:paraId="58CB26E3" w14:textId="295EF9D0"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"_Toc176997899"</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DEBIDA DILIGENCIA PARA LA IDENTIFICACIÓN Y VINCULACIÓN DE POSIBLES CLIENTES</w:t>
          </w:r>
          <w:r>
            <w:rPr>
              <w:webHidden/>
            </w:rPr>
            <w:tab/>
            <w:fldChar w:fldCharType="begin"/>
            <w:instrText xml:space="preserve"> PAGEREF _Toc176997899 \h </w:instrText>
            <w:fldChar w:fldCharType="separate"/>
            <w:t>21</w:t>
            <w:fldChar w:fldCharType="end"/>
          </w:r>
          <w:r>
            <w:rPr>
              <w:rStyle w:val="Hyperlink"/>
            </w:rPr>
            <w:fldChar w:fldCharType="end"/>
          </w:r>
        </w:p>
        <w:p w14:paraId="049FC136" w14:textId="33EE7C19"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"_Toc176997900"</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simplificada.</w:t>
          </w:r>
          <w:r>
            <w:rPr>
              <w:noProof/>
              <w:webHidden/>
            </w:rPr>
            <w:tab/>
            <w:fldChar w:fldCharType="begin"/>
            <w:instrText xml:space="preserve"> PAGEREF _Toc176997900 \h </w:instrText>
            <w:fldChar w:fldCharType="separate"/>
            <w:t>22</w:t>
            <w:fldChar w:fldCharType="end"/>
          </w:r>
          <w:r>
            <w:rPr>
              <w:rStyle w:val="Hyperlink"/>
              <w:noProof/>
            </w:rPr>
            <w:fldChar w:fldCharType="end"/>
          </w:r>
        </w:p>
        <w:p w14:paraId="7FC3F9EC" w14:textId="2EF8A7EC"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"_Toc176997901"</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estándar</w:t>
          </w:r>
          <w:r>
            <w:rPr>
              <w:noProof/>
              <w:webHidden/>
            </w:rPr>
            <w:tab/>
            <w:fldChar w:fldCharType="begin"/>
            <w:instrText xml:space="preserve"> PAGEREF _Toc176997901 \h </w:instrText>
            <w:fldChar w:fldCharType="separate"/>
            <w:t>22</w:t>
            <w:fldChar w:fldCharType="end"/>
          </w:r>
          <w:r>
            <w:rPr>
              <w:rStyle w:val="Hyperlink"/>
              <w:noProof/>
            </w:rPr>
            <w:fldChar w:fldCharType="end"/>
          </w:r>
        </w:p>
        <w:p w14:paraId="1C57D39D" w14:textId="3514C4FD"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"_Toc176997902"</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intensificada</w:t>
          </w:r>
          <w:r>
            <w:rPr>
              <w:noProof/>
              <w:webHidden/>
            </w:rPr>
            <w:tab/>
            <w:fldChar w:fldCharType="begin"/>
            <w:instrText xml:space="preserve"> PAGEREF _Toc176997902 \h </w:instrText>
            <w:fldChar w:fldCharType="separate"/>
            <w:t>23</w:t>
            <w:fldChar w:fldCharType="end"/>
          </w:r>
          <w:r>
            <w:rPr>
              <w:rStyle w:val="Hyperlink"/>
              <w:noProof/>
            </w:rPr>
            <w:fldChar w:fldCharType="end"/>
          </w:r>
        </w:p>
        <w:p w14:paraId="705DF1B1" w14:textId="75D240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"_Toc176997903"</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para clientes PEP´s</w:t>
          </w:r>
          <w:r>
            <w:rPr>
              <w:noProof/>
              <w:webHidden/>
            </w:rPr>
            <w:tab/>
            <w:fldChar w:fldCharType="begin"/>
            <w:instrText xml:space="preserve"> PAGEREF _Toc176997903 \h </w:instrText>
            <w:fldChar w:fldCharType="separate"/>
            <w:t>25</w:t>
            <w:fldChar w:fldCharType="end"/>
          </w:r>
          <w:r>
            <w:rPr>
              <w:rStyle w:val="Hyperlink"/>
              <w:noProof/>
            </w:rPr>
            <w:fldChar w:fldCharType="end"/>
          </w:r>
        </w:p>
        <w:p w14:paraId="5F0E1453" w14:textId="77AD181F"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"_Toc176997904"</w:instrText>
          </w:r>
          <w:r>
            <w:rPr>
              <w:rStyle w:val="Hyperlink"/>
              <w:noProof/>
            </w:rPr>
            <w:instrText xml:space="preserve"> </w:instrText>
            <w:fldChar w:fldCharType="separate"/>
          </w:r>
          <w:r>
            <w:rPr>
              <w:rStyle w:val="Hyperlink"/>
              <w:rFonts w:ascii="Calibri" w:eastAsia="Calibri" w:hAnsi="Calibri" w:cs="Calibri"/>
              <w:noProof/>
            </w:rPr>
            <w:t>5.</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Proceso para la Identificación de un PEP.</w:t>
          </w:r>
          <w:r>
            <w:rPr>
              <w:noProof/>
              <w:webHidden/>
            </w:rPr>
            <w:tab/>
            <w:fldChar w:fldCharType="begin"/>
            <w:instrText xml:space="preserve"> PAGEREF _Toc176997904 \h </w:instrText>
            <w:fldChar w:fldCharType="separate"/>
            <w:t>26</w:t>
            <w:fldChar w:fldCharType="end"/>
          </w:r>
          <w:r>
            <w:rPr>
              <w:rStyle w:val="Hyperlink"/>
              <w:noProof/>
            </w:rPr>
            <w:fldChar w:fldCharType="end"/>
          </w:r>
        </w:p>
        <w:p w14:paraId="3A2EAC43" w14:textId="459F74A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"_Toc176997905"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NORMAS GENERALES DE DEBIDA DILIGENCIA</w:t>
          </w:r>
          <w:r>
            <w:rPr>
              <w:webHidden/>
            </w:rPr>
            <w:tab/>
            <w:fldChar w:fldCharType="begin"/>
            <w:instrText xml:space="preserve"> PAGEREF _Toc176997905 \h </w:instrText>
            <w:fldChar w:fldCharType="separate"/>
            <w:t>28</w:t>
            <w:fldChar w:fldCharType="end"/>
          </w:r>
          <w:r>
            <w:rPr>
              <w:rStyle w:val="Hyperlink"/>
            </w:rPr>
            <w:fldChar w:fldCharType="end"/>
          </w:r>
        </w:p>
        <w:p w14:paraId="2B9366B3" w14:textId="57B7603B"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"_Toc176997906"</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Clientes no aceptados</w:t>
          </w:r>
          <w:r>
            <w:rPr>
              <w:noProof/>
              <w:webHidden/>
            </w:rPr>
            <w:tab/>
            <w:fldChar w:fldCharType="begin"/>
            <w:instrText xml:space="preserve"> PAGEREF _Toc176997906 \h </w:instrText>
            <w:fldChar w:fldCharType="separate"/>
            <w:t>28</w:t>
            <w:fldChar w:fldCharType="end"/>
          </w:r>
          <w:r>
            <w:rPr>
              <w:rStyle w:val="Hyperlink"/>
              <w:noProof/>
            </w:rPr>
            <w:fldChar w:fldCharType="end"/>
          </w:r>
        </w:p>
        <w:p w14:paraId="50D7AB21" w14:textId="134E9C40"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"_Toc176997907"</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Procedencia de fondos</w:t>
          </w:r>
          <w:r>
            <w:rPr>
              <w:noProof/>
              <w:webHidden/>
            </w:rPr>
            <w:tab/>
            <w:fldChar w:fldCharType="begin"/>
            <w:instrText xml:space="preserve"> PAGEREF _Toc176997907 \h </w:instrText>
            <w:fldChar w:fldCharType="separate"/>
            <w:t>29</w:t>
            <w:fldChar w:fldCharType="end"/>
          </w:r>
          <w:r>
            <w:rPr>
              <w:rStyle w:val="Hyperlink"/>
              <w:noProof/>
            </w:rPr>
            <w:fldChar w:fldCharType="end"/>
          </w:r>
        </w:p>
        <w:p w14:paraId="7CCD037A" w14:textId="250548E8"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"_Toc176997908"</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Actualización de información de clientes</w:t>
          </w:r>
          <w:r>
            <w:rPr>
              <w:noProof/>
              <w:webHidden/>
            </w:rPr>
            <w:tab/>
            <w:fldChar w:fldCharType="begin"/>
            <w:instrText xml:space="preserve"> PAGEREF _Toc176997908 \h </w:instrText>
            <w:fldChar w:fldCharType="separate"/>
            <w:t>29</w:t>
            <w:fldChar w:fldCharType="end"/>
          </w:r>
          <w:r>
            <w:rPr>
              <w:rStyle w:val="Hyperlink"/>
              <w:noProof/>
            </w:rPr>
            <w:fldChar w:fldCharType="end"/>
          </w:r>
        </w:p>
        <w:p w14:paraId="600B4E23" w14:textId="62D2CB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"_Toc176997909"</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Mantenimiento y finalización de relaciones contractuales</w:t>
          </w:r>
          <w:r>
            <w:rPr>
              <w:noProof/>
              <w:webHidden/>
            </w:rPr>
            <w:tab/>
            <w:fldChar w:fldCharType="begin"/>
            <w:instrText xml:space="preserve"> PAGEREF _Toc176997909 \h </w:instrText>
            <w:fldChar w:fldCharType="separate"/>
            <w:t>30</w:t>
            <w:fldChar w:fldCharType="end"/>
          </w:r>
          <w:r>
            <w:rPr>
              <w:rStyle w:val="Hyperlink"/>
              <w:noProof/>
            </w:rPr>
            <w:fldChar w:fldCharType="end"/>
          </w:r>
        </w:p>
        <w:p w14:paraId="2CC1876E" w14:textId="7F312466"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"_Toc176997910"</w:instrText>
          </w:r>
          <w:r>
            <w:rPr>
              <w:rStyle w:val="Hyperlink"/>
              <w:noProof/>
            </w:rPr>
            <w:instrText xml:space="preserve"> </w:instrText>
            <w:fldChar w:fldCharType="separate"/>
          </w:r>
          <w:r>
            <w:rPr>
              <w:rStyle w:val="Hyperlink"/>
              <w:rFonts w:cs="Calibri"/>
              <w:noProof/>
            </w:rPr>
            <w:t>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EMPLEADOS</w:t>
          </w:r>
          <w:r>
            <w:rPr>
              <w:noProof/>
              <w:webHidden/>
            </w:rPr>
            <w:tab/>
            <w:fldChar w:fldCharType="begin"/>
            <w:instrText xml:space="preserve"> PAGEREF _Toc176997910 \h </w:instrText>
            <w:fldChar w:fldCharType="separate"/>
            <w:t>30</w:t>
            <w:fldChar w:fldCharType="end"/>
          </w:r>
          <w:r>
            <w:rPr>
              <w:rStyle w:val="Hyperlink"/>
              <w:noProof/>
            </w:rPr>
            <w:fldChar w:fldCharType="end"/>
          </w:r>
        </w:p>
        <w:p w14:paraId="17756453" w14:textId="79453EF1"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"_Toc176997911"</w:instrText>
          </w:r>
          <w:r>
            <w:rPr>
              <w:rStyle w:val="Hyperlink"/>
              <w:noProof/>
            </w:rPr>
            <w:instrText xml:space="preserve"> </w:instrText>
            <w:fldChar w:fldCharType="separate"/>
          </w:r>
          <w:r>
            <w:rPr>
              <w:rStyle w:val="Hyperlink"/>
              <w:rFonts w:cs="Calibri"/>
              <w:noProof/>
            </w:rPr>
            <w:t>IX.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PROVEEDORES</w:t>
          </w:r>
          <w:r>
            <w:rPr>
              <w:noProof/>
              <w:webHidden/>
            </w:rPr>
            <w:tab/>
            <w:fldChar w:fldCharType="begin"/>
            <w:instrText xml:space="preserve"> PAGEREF _Toc176997911 \h </w:instrText>
            <w:fldChar w:fldCharType="separate"/>
            <w:t>32</w:t>
            <w:fldChar w:fldCharType="end"/>
          </w:r>
          <w:r>
            <w:rPr>
              <w:rStyle w:val="Hyperlink"/>
              <w:noProof/>
            </w:rPr>
            <w:fldChar w:fldCharType="end"/>
          </w:r>
        </w:p>
        <w:p w14:paraId="0D968412" w14:textId="599C3433"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lastRenderedPageBreak/>
            <w:fldChar w:fldCharType="begin"/>
            <w:instrText xml:space="preserve"> </w:instrText>
          </w:r>
          <w:r>
            <w:rPr>
              <w:noProof/>
            </w:rPr>
            <w:instrText>HYPERLINK \l "_Toc176997912"</w:instrText>
          </w:r>
          <w:r>
            <w:rPr>
              <w:rStyle w:val="Hyperlink"/>
              <w:noProof/>
            </w:rPr>
            <w:instrText xml:space="preserve"> </w:instrText>
            <w:fldChar w:fldCharType="separate"/>
          </w:r>
          <w:r>
            <w:rPr>
              <w:rStyle w:val="Hyperlink"/>
              <w:rFonts w:cs="Calibri"/>
              <w:noProof/>
            </w:rPr>
            <w:t>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EL MONITOREO Y REPORTE DE OPERACIONES IRREGULARES, SOSPECHOSAS Y REGULADAS</w:t>
          </w:r>
          <w:r>
            <w:rPr>
              <w:noProof/>
              <w:webHidden/>
            </w:rPr>
            <w:tab/>
            <w:fldChar w:fldCharType="begin"/>
            <w:instrText xml:space="preserve"> PAGEREF _Toc176997912 \h </w:instrText>
            <w:fldChar w:fldCharType="separate"/>
            <w:t>34</w:t>
            <w:fldChar w:fldCharType="end"/>
          </w:r>
          <w:r>
            <w:rPr>
              <w:rStyle w:val="Hyperlink"/>
              <w:noProof/>
            </w:rPr>
            <w:fldChar w:fldCharType="end"/>
          </w:r>
        </w:p>
        <w:p w14:paraId="625557B1" w14:textId="6F1A60B2"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"_Toc176997913"</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MONITOREO</w:t>
          </w:r>
          <w:r>
            <w:rPr>
              <w:webHidden/>
            </w:rPr>
            <w:tab/>
            <w:fldChar w:fldCharType="begin"/>
            <w:instrText xml:space="preserve"> PAGEREF _Toc176997913 \h </w:instrText>
            <w:fldChar w:fldCharType="separate"/>
            <w:t>35</w:t>
            <w:fldChar w:fldCharType="end"/>
          </w:r>
          <w:r>
            <w:rPr>
              <w:rStyle w:val="Hyperlink"/>
            </w:rPr>
            <w:fldChar w:fldCharType="end"/>
          </w:r>
        </w:p>
        <w:p w14:paraId="7F120121" w14:textId="6E3FD5D9"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"_Toc176997914"</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INTERNO DE OPERACIONES IRREGULARES O SOSPECHOSAS</w:t>
          </w:r>
          <w:r>
            <w:rPr>
              <w:webHidden/>
            </w:rPr>
            <w:tab/>
            <w:fldChar w:fldCharType="begin"/>
            <w:instrText xml:space="preserve"> PAGEREF _Toc176997914 \h </w:instrText>
            <w:fldChar w:fldCharType="separate"/>
            <w:t>35</w:t>
            <w:fldChar w:fldCharType="end"/>
          </w:r>
          <w:r>
            <w:rPr>
              <w:rStyle w:val="Hyperlink"/>
            </w:rPr>
            <w:fldChar w:fldCharType="end"/>
          </w:r>
        </w:p>
        <w:p w14:paraId="70C25B67" w14:textId="574EB5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"_Toc176997915"</w:instrText>
          </w:r>
          <w:r>
            <w:rPr>
              <w:rStyle w:val="Hyperlink"/>
            </w:rPr>
            <w:instrText xml:space="preserve"> </w:instrText>
            <w:fldChar w:fldCharType="separate"/>
          </w:r>
          <w:r>
            <w:rPr>
              <w:rStyle w:val="Hyperlink"/>
              <w:rFonts w:cs="Calibri"/>
            </w:rPr>
            <w:t>c.</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ANÁLISIS DE TRANSACCIONES IRREGULARES</w:t>
          </w:r>
          <w:r>
            <w:rPr>
              <w:webHidden/>
            </w:rPr>
            <w:tab/>
            <w:fldChar w:fldCharType="begin"/>
            <w:instrText xml:space="preserve"> PAGEREF _Toc176997915 \h </w:instrText>
            <w:fldChar w:fldCharType="separate"/>
            <w:t>35</w:t>
            <w:fldChar w:fldCharType="end"/>
          </w:r>
          <w:r>
            <w:rPr>
              <w:rStyle w:val="Hyperlink"/>
            </w:rPr>
            <w:fldChar w:fldCharType="end"/>
          </w:r>
        </w:p>
        <w:p w14:paraId="6B39678A" w14:textId="44BBE4FC"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"_Toc176997916"</w:instrText>
          </w:r>
          <w:r>
            <w:rPr>
              <w:rStyle w:val="Hyperlink"/>
            </w:rPr>
            <w:instrText xml:space="preserve"> </w:instrText>
            <w:fldChar w:fldCharType="separate"/>
          </w:r>
          <w:r>
            <w:rPr>
              <w:rStyle w:val="Hyperlink"/>
              <w:rFonts w:cs="Calibri"/>
            </w:rPr>
            <w:t>d.</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SOSPECHOSAS (ROS) Y REPORTE DE TENTATIVA DE OPERACIÓN SOSPECHOSA</w:t>
          </w:r>
          <w:r>
            <w:rPr>
              <w:webHidden/>
            </w:rPr>
            <w:tab/>
            <w:fldChar w:fldCharType="begin"/>
            <w:instrText xml:space="preserve"> PAGEREF _Toc176997916 \h </w:instrText>
            <w:fldChar w:fldCharType="separate"/>
            <w:t>37</w:t>
            <w:fldChar w:fldCharType="end"/>
          </w:r>
          <w:r>
            <w:rPr>
              <w:rStyle w:val="Hyperlink"/>
            </w:rPr>
            <w:fldChar w:fldCharType="end"/>
          </w:r>
        </w:p>
        <w:p w14:paraId="14461358" w14:textId="0BAFCD7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"_Toc176997917"</w:instrText>
          </w:r>
          <w:r>
            <w:rPr>
              <w:rStyle w:val="Hyperlink"/>
            </w:rPr>
            <w:instrText xml:space="preserve"> </w:instrText>
            <w:fldChar w:fldCharType="separate"/>
          </w:r>
          <w:r>
            <w:rPr>
              <w:rStyle w:val="Hyperlink"/>
              <w:rFonts w:cs="Calibri"/>
            </w:rPr>
            <w:t>e.</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REGULADAS</w:t>
          </w:r>
          <w:r>
            <w:rPr>
              <w:webHidden/>
            </w:rPr>
            <w:tab/>
            <w:fldChar w:fldCharType="begin"/>
            <w:instrText xml:space="preserve"> PAGEREF _Toc176997917 \h </w:instrText>
            <w:fldChar w:fldCharType="separate"/>
            <w:t>38</w:t>
            <w:fldChar w:fldCharType="end"/>
          </w:r>
          <w:r>
            <w:rPr>
              <w:rStyle w:val="Hyperlink"/>
            </w:rPr>
            <w:fldChar w:fldCharType="end"/>
          </w:r>
        </w:p>
        <w:p w14:paraId="5F60D455" w14:textId="328FBE37"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ATENCIÓN DE REQUERIMIENTOS DE INFORMACIÓN</w:t>
          </w:r>
          <w:r>
            <w:rPr>
              <w:webHidden/>
            </w:rPr>
            <w:tab/>
            <w:fldChar w:fldCharType="begin"/>
            <w:instrText xml:space="preserve"> PAGEREF _Toc176997918 \h </w:instrText>
            <w:fldChar w:fldCharType="separate"/>
            <w:t>39</w:t>
            <w:fldChar w:fldCharType="end"/>
          </w:r>
          <w:r>
            <w:rPr>
              <w:rStyle w:val="Hyperlink"/>
            </w:rPr>
            <w:fldChar w:fldCharType="end"/>
          </w:r>
        </w:p>
        <w:p w14:paraId="20BEB804" w14:textId="43F76164"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"_Toc176997919"</w:instrText>
          </w:r>
          <w:r>
            <w:rPr>
              <w:rStyle w:val="Hyperlink"/>
              <w:noProof/>
            </w:rPr>
            <w:instrText xml:space="preserve"> </w:instrText>
            <w:fldChar w:fldCharType="separate"/>
          </w:r>
          <w:r>
            <w:rPr>
              <w:rStyle w:val="Hyperlink"/>
              <w:rFonts w:cs="Calibri"/>
              <w:noProof/>
            </w:rPr>
            <w:t>XI.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MATRIZ DE RIESGO</w:t>
          </w:r>
          <w:r>
            <w:rPr>
              <w:noProof/>
              <w:webHidden/>
            </w:rPr>
            <w:tab/>
            <w:fldChar w:fldCharType="begin"/>
            <w:instrText xml:space="preserve"> PAGEREF _Toc176997919 \h </w:instrText>
            <w:fldChar w:fldCharType="separate"/>
            <w:t>40</w:t>
            <w:fldChar w:fldCharType="end"/>
          </w:r>
          <w:r>
            <w:rPr>
              <w:rStyle w:val="Hyperlink"/>
              <w:noProof/>
            </w:rPr>
            <w:fldChar w:fldCharType="end"/>
          </w:r>
        </w:p>
        <w:p w14:paraId="4FA643F3" w14:textId="55D6AEC9"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"_Toc176997920"</w:instrText>
          </w:r>
          <w:r>
            <w:rPr>
              <w:rStyle w:val="Hyperlink"/>
              <w:noProof/>
            </w:rPr>
            <w:instrText xml:space="preserve"> </w:instrText>
            <w:fldChar w:fldCharType="separate"/>
          </w:r>
          <w:r>
            <w:rPr>
              <w:rStyle w:val="Hyperlink"/>
              <w:rFonts w:cs="Calibri"/>
              <w:noProof/>
            </w:rPr>
            <w:t>XII.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 DE CONFIDENCIALIDAD</w:t>
          </w:r>
          <w:r>
            <w:rPr>
              <w:noProof/>
              <w:webHidden/>
            </w:rPr>
            <w:tab/>
            <w:fldChar w:fldCharType="begin"/>
            <w:instrText xml:space="preserve"> PAGEREF _Toc176997920 \h </w:instrText>
            <w:fldChar w:fldCharType="separate"/>
            <w:t>45</w:t>
            <w:fldChar w:fldCharType="end"/>
          </w:r>
          <w:r>
            <w:rPr>
              <w:rStyle w:val="Hyperlink"/>
              <w:noProof/>
            </w:rPr>
            <w:fldChar w:fldCharType="end"/>
          </w:r>
        </w:p>
        <w:p w14:paraId="38899A98" w14:textId="66924F3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"_Toc176997921"</w:instrText>
          </w:r>
          <w:r>
            <w:rPr>
              <w:rStyle w:val="Hyperlink"/>
              <w:noProof/>
            </w:rPr>
            <w:instrText xml:space="preserve"> </w:instrText>
            <w:fldChar w:fldCharType="separate"/>
          </w:r>
          <w:r>
            <w:rPr>
              <w:rStyle w:val="Hyperlink"/>
              <w:rFonts w:cs="Calibri"/>
              <w:noProof/>
            </w:rPr>
            <w:t>XIII.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ARCHIVO Y CONSERVACIÓN DE DOCUMENTOS</w:t>
          </w:r>
          <w:r>
            <w:rPr>
              <w:noProof/>
              <w:webHidden/>
            </w:rPr>
            <w:tab/>
            <w:fldChar w:fldCharType="begin"/>
            <w:instrText xml:space="preserve"> PAGEREF _Toc176997921 \h </w:instrText>
            <w:fldChar w:fldCharType="separate"/>
            <w:t>46</w:t>
            <w:fldChar w:fldCharType="end"/>
          </w:r>
          <w:r>
            <w:rPr>
              <w:rStyle w:val="Hyperlink"/>
              <w:noProof/>
            </w:rPr>
            <w:fldChar w:fldCharType="end"/>
          </w:r>
        </w:p>
        <w:p w14:paraId="11FC807B" w14:textId="19BF5AF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"_Toc176997922"</w:instrText>
          </w:r>
          <w:r>
            <w:rPr>
              <w:rStyle w:val="Hyperlink"/>
              <w:noProof/>
            </w:rPr>
            <w:instrText xml:space="preserve"> </w:instrText>
            <w:fldChar w:fldCharType="separate"/>
          </w:r>
          <w:r>
            <w:rPr>
              <w:rStyle w:val="Hyperlink"/>
              <w:rFonts w:cs="Calibri"/>
              <w:noProof/>
            </w:rPr>
            <w:t>XIV.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LA CAPACITACIÓN</w:t>
          </w:r>
          <w:r>
            <w:rPr>
              <w:noProof/>
              <w:webHidden/>
            </w:rPr>
            <w:tab/>
            <w:fldChar w:fldCharType="begin"/>
            <w:instrText xml:space="preserve"> PAGEREF _Toc176997922 \h </w:instrText>
            <w:fldChar w:fldCharType="separate"/>
            <w:t>47</w:t>
            <w:fldChar w:fldCharType="end"/>
          </w:r>
          <w:r>
            <w:rPr>
              <w:rStyle w:val="Hyperlink"/>
              <w:noProof/>
            </w:rPr>
            <w:fldChar w:fldCharType="end"/>
          </w:r>
        </w:p>
        <w:p w14:paraId="1ED99832" w14:textId="182DC4B3"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"_Toc176997923"</w:instrText>
          </w:r>
          <w:r>
            <w:rPr>
              <w:rStyle w:val="Hyperlink"/>
              <w:noProof/>
            </w:rPr>
            <w:instrText xml:space="preserve"> </w:instrText>
            <w:fldChar w:fldCharType="separate"/>
          </w:r>
          <w:r>
            <w:rPr>
              <w:rStyle w:val="Hyperlink"/>
              <w:rFonts w:cs="Calibri"/>
              <w:noProof/>
            </w:rPr>
            <w:t>XV.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ÓRGANOS DE CONTROL</w:t>
          </w:r>
          <w:r>
            <w:rPr>
              <w:noProof/>
              <w:webHidden/>
            </w:rPr>
            <w:tab/>
            <w:fldChar w:fldCharType="begin"/>
            <w:instrText xml:space="preserve"> PAGEREF _Toc176997923 \h </w:instrText>
            <w:fldChar w:fldCharType="separate"/>
            <w:t>49</w:t>
            <w:fldChar w:fldCharType="end"/>
          </w:r>
          <w:r>
            <w:rPr>
              <w:rStyle w:val="Hyperlink"/>
              <w:noProof/>
            </w:rPr>
            <w:fldChar w:fldCharType="end"/>
          </w:r>
        </w:p>
        <w:p w14:paraId="1CB081C5" w14:textId="7B10E1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AUDITORÍA INTERNA</w:t>
          </w:r>
          <w:r>
            <w:rPr>
              <w:webHidden/>
            </w:rPr>
            <w:tab/>
            <w:fldChar w:fldCharType="begin"/>
            <w:instrText xml:space="preserve"> PAGEREF _Toc176997924 \h </w:instrText>
            <w:fldChar w:fldCharType="separate"/>
            <w:t>49</w:t>
            <w:fldChar w:fldCharType="end"/>
          </w:r>
          <w:r>
            <w:rPr>
              <w:rStyle w:val="Hyperlink"/>
            </w:rPr>
            <w:fldChar w:fldCharType="end"/>
          </w:r>
        </w:p>
        <w:p w14:paraId="3A6F209C" w14:textId="3A08310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AUDITORIA EXTERNA</w:t>
          </w:r>
          <w:r>
            <w:rPr>
              <w:webHidden/>
            </w:rPr>
            <w:tab/>
            <w:fldChar w:fldCharType="begin"/>
            <w:instrText xml:space="preserve"> PAGEREF _Toc176997925 \h </w:instrText>
            <w:fldChar w:fldCharType="separate"/>
            <w:t>49</w:t>
            <w:fldChar w:fldCharType="end"/>
          </w:r>
          <w:r>
            <w:rPr>
              <w:rStyle w:val="Hyperlink"/>
            </w:rPr>
            <w:fldChar w:fldCharType="end"/>
          </w:r>
        </w:p>
        <w:p w14:paraId="5442C36F" w14:textId="3958C98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"_Toc176997926"</w:instrText>
          </w:r>
          <w:r>
            <w:rPr>
              <w:rStyle w:val="Hyperlink"/>
              <w:noProof/>
            </w:rPr>
            <w:instrText xml:space="preserve"> </w:instrText>
            <w:fldChar w:fldCharType="separate"/>
          </w:r>
          <w:r>
            <w:rPr>
              <w:rStyle w:val="Hyperlink"/>
              <w:rFonts w:cs="Calibri"/>
              <w:noProof/>
            </w:rPr>
            <w:t>XVI.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SANCIONES</w:t>
          </w:r>
          <w:r>
            <w:rPr>
              <w:noProof/>
              <w:webHidden/>
            </w:rPr>
            <w:tab/>
            <w:fldChar w:fldCharType="begin"/>
            <w:instrText xml:space="preserve"> PAGEREF _Toc176997926 \h </w:instrText>
            <w:fldChar w:fldCharType="separate"/>
            <w:t>50</w:t>
            <w:fldChar w:fldCharType="end"/>
          </w:r>
          <w:r>
            <w:rPr>
              <w:rStyle w:val="Hyperlink"/>
              <w:noProof/>
            </w:rPr>
            <w:fldChar w:fldCharType="end"/>
          </w:r>
        </w:p>
        <w:p w14:paraId="20504D19" w14:textId="0087A8CA"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"_Toc176997927"</w:instrText>
          </w:r>
          <w:r>
            <w:rPr>
              <w:rStyle w:val="Hyperlink"/>
              <w:noProof/>
            </w:rPr>
            <w:instrText xml:space="preserve"> </w:instrText>
            <w:fldChar w:fldCharType="separate"/>
          </w:r>
          <w:r>
            <w:rPr>
              <w:rStyle w:val="Hyperlink"/>
              <w:rFonts w:cs="Calibri"/>
              <w:noProof/>
            </w:rPr>
            <w:t>XVII.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DIVULGACIÓN</w:t>
          </w:r>
          <w:r>
            <w:rPr>
              <w:noProof/>
              <w:webHidden/>
            </w:rPr>
            <w:tab/>
            <w:fldChar w:fldCharType="begin"/>
            <w:instrText xml:space="preserve"> PAGEREF _Toc176997927 \h </w:instrText>
            <w:fldChar w:fldCharType="separate"/>
            <w:t>50</w:t>
            <w:fldChar w:fldCharType="end"/>
          </w:r>
          <w:r>
            <w:rPr>
              <w:rStyle w:val="Hyperlink"/>
              <w:noProof/>
            </w:rPr>
            <w:fldChar w:fldCharType="end"/>
          </w:r>
        </w:p>
        <w:p w14:paraId="43AA6E68" w14:textId="63F12A26" w:rsidR="00642217" w:rsidRDefault="00642217">
          <w:pPr>
            <w:pStyle w:val="TOC1"/>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"_Toc176997928"</w:instrText>
          </w:r>
          <w:r>
            <w:rPr>
              <w:rStyle w:val="Hyperlink"/>
              <w:noProof/>
            </w:rPr>
            <w:instrText xml:space="preserve"> </w:instrText>
            <w:fldChar w:fldCharType="separate"/>
          </w:r>
          <w:r>
            <w:rPr>
              <w:rStyle w:val="Hyperlink"/>
              <w:rFonts w:cs="Calibri"/>
              <w:noProof/>
            </w:rPr>
            <w:t>XVIII.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VIGENCIA Y MODIFICACIONES</w:t>
          </w:r>
          <w:r>
            <w:rPr>
              <w:noProof/>
              <w:webHidden/>
            </w:rPr>
            <w:tab/>
            <w:fldChar w:fldCharType="begin"/>
            <w:instrText xml:space="preserve"> PAGEREF _Toc176997928 \h </w:instrText>
            <w:fldChar w:fldCharType="separate"/>
            <w:t>51</w:t>
            <w:fldChar w:fldCharType="end"/>
          </w:r>
          <w:r>
            <w:rPr>
              <w:rStyle w:val="Hyperlink"/>
              <w:noProof/>
            </w:rPr>
            <w:fldChar w:fldCharType="end"/>
          </w:r>
        </w:p>
        <w:p w14:paraId="2ED57C71"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fldChar w:fldCharType="end"/>
          </w:r>
        </w:p>
      </w:sdtContent>
    </w:sdt>
    <w:p w14:paraId="4F13BDBD" w14:textId="77777777" w:rsidR="001815AC" w:rsidRPr="0057078F" w:rsidRDefault="001815AC" w:rsidP="0057078F">
      <w:pPr>
        <w:spacing w:line="276" w:lineRule="auto"/>
        <w:rPr>
          <w:rFonts w:ascii="Calibri" w:eastAsia="Calibri" w:hAnsi="Calibri" w:cs="Calibri"/>
          <w:color w:val="1A1A1A"/>
          <w:sz w:val="24"/>
          <w:szCs w:val="24"/>
        </w:rPr>
      </w:pPr>
      <w:bookmarkStart w:id="227" w:name="_heading=h.1fob9te" w:colFirst="0" w:colLast="0"/>
      <w:bookmarkEnd w:id="227"/>
    </w:p>
    <w:p w14:paraId="4362DF77" w14:textId="77777777" w:rsidR="001815AC" w:rsidRPr="0057078F" w:rsidRDefault="001815AC" w:rsidP="0057078F">
      <w:pPr>
        <w:spacing w:line="276" w:lineRule="auto"/>
        <w:rPr>
          <w:rFonts w:ascii="Calibri" w:eastAsia="Calibri" w:hAnsi="Calibri" w:cs="Calibri"/>
          <w:color w:val="1A1A1A"/>
          <w:sz w:val="24"/>
          <w:szCs w:val="24"/>
        </w:rPr>
      </w:pPr>
    </w:p>
    <w:p w14:paraId="4323AFF9" w14:textId="77777777" w:rsidR="001815AC" w:rsidRPr="0057078F" w:rsidRDefault="001815AC" w:rsidP="0057078F">
      <w:pPr>
        <w:spacing w:line="276" w:lineRule="auto"/>
        <w:rPr>
          <w:rFonts w:ascii="Calibri" w:eastAsia="Calibri" w:hAnsi="Calibri" w:cs="Calibri"/>
          <w:color w:val="1A1A1A"/>
          <w:sz w:val="24"/>
          <w:szCs w:val="24"/>
        </w:rPr>
      </w:pPr>
    </w:p>
    <w:p w14:paraId="4B22B1D5"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60C9040B" w14:textId="323F04D5" w:rsidR="001815AC" w:rsidRPr="0057078F" w:rsidRDefault="00000000" w:rsidP="0057078F">
      <w:pPr>
        <w:spacing w:line="276" w:lineRule="auto"/>
        <w:jc w:val="center"/>
        <w:rPr>
          <w:rFonts w:ascii="Calibri" w:eastAsia="Calibri" w:hAnsi="Calibri" w:cs="Calibri"/>
          <w:b/>
          <w:color w:val="1A1A1A"/>
          <w:sz w:val="24"/>
          <w:szCs w:val="24"/>
        </w:rPr>
      </w:pPr>
      <w:r>
        <w:rPr>
          <w:rFonts w:ascii="Calibri" w:eastAsia="Calibri" w:hAnsi="Calibri" w:cs="Calibri"/>
          <w:b/>
          <w:color w:val="1A1A1A"/>
          <w:sz w:val="24"/>
          <w:szCs w:val="24"/>
        </w:rPr>
        <w:t xml:space="preserve">MANUAL DE PREVENCIÓN LD/FT/FPADM</w:t>
      </w:r>
    </w:p>
    <w:p>
      <w:pPr>
        <w:spacing w:line="276" w:lineRule="auto"/>
        <w:jc w:val="center"/>
        <w:rPr>
          <w:rFonts w:ascii="Calibri" w:eastAsia="Calibri" w:hAnsi="Calibri" w:cs="Calibri"/>
          <w:b/>
          <w:color w:val="1A1A1A"/>
          <w:sz w:val="24"/>
          <w:szCs w:val="24"/>
        </w:rPr>
      </w:pPr>
      <w:r>
        <w:rPr>
          <w:rFonts w:ascii="Calibri" w:eastAsia="Calibri" w:hAnsi="Calibri" w:cs="Calibri"/>
          <w:color w:val="1A1A1A"/>
          <w:sz w:val="24"/>
          <w:szCs w:val="24"/>
        </w:rPr>
        <w:t xml:space="preserve">(Manual de Cumplimiento del Sistema Integral de Prevención del Lavado de Dinero u Otros Activos, del Financiamiento del Terrorismo y del Financiamiento de la Proliferación de Armas de Destrucción Masiva)</w:t>
      </w:r>
    </w:p>
    <w:p w14:paraId="1AACFE41" w14:textId="77777777" w:rsidR="001815AC" w:rsidRPr="0057078F" w:rsidRDefault="00000000" w:rsidP="0057078F">
      <w:pPr>
        <w:pStyle w:val="Heading1"/>
        <w:spacing w:line="276" w:lineRule="auto"/>
        <w:rPr>
          <w:rFonts w:cs="Calibri"/>
        </w:rPr>
      </w:pPr>
      <w:bookmarkStart w:id="229" w:name="_Toc176997886"/>
      <w:r>
        <w:rPr>
          <w:rFonts w:cs="Calibri"/>
        </w:rPr>
        <w:t>INTRODUCCIÓN</w:t>
      </w:r>
      <w:bookmarkEnd w:id="229"/>
    </w:p>
    <w:p w14:paraId="79A2B86F" w14:textId="77777777" w:rsidR="001815AC" w:rsidRPr="0057078F" w:rsidRDefault="001815AC" w:rsidP="0057078F">
      <w:pPr>
        <w:spacing w:line="276" w:lineRule="auto"/>
        <w:rPr>
          <w:rFonts w:ascii="Calibri" w:hAnsi="Calibri" w:cs="Calibri"/>
          <w:sz w:val="24"/>
          <w:szCs w:val="24"/>
        </w:rPr>
      </w:pPr>
    </w:p>
    <w:p w14:paraId="4E9FD0CC" w14:textId="77777777" w:rsidR="0057078F" w:rsidRPr="0057078F" w:rsidRDefault="0057078F" w:rsidP="00027F70">
      <w:pPr>
        <w:spacing w:line="276" w:lineRule="auto"/>
        <w:jc w:val="both"/>
        <w:rPr>
          <w:rFonts w:ascii="Calibri" w:eastAsia="Calibri" w:hAnsi="Calibri" w:cs="Calibri"/>
          <w:color w:val="000000"/>
          <w:sz w:val="24"/>
          <w:szCs w:val="24"/>
          <w:lang w:val="es-ES"/>
        </w:rPr>
      </w:pPr>
      <w:bookmarkStart w:id="232" w:name="_heading=h.2et92p0" w:colFirst="0" w:colLast="0"/>
      <w:bookmarkEnd w:id="232"/>
      <w:r>
        <w:rPr>
          <w:rFonts w:ascii="Calibri" w:eastAsia="Calibri" w:hAnsi="Calibri" w:cs="Calibri"/>
          <w:b/>
          <w:bCs/>
          <w:color w:val="000000"/>
          <w:sz w:val="24"/>
          <w:szCs w:val="24"/>
          <w:lang w:val="es-ES"/>
        </w:rPr>
        <w:t>Propi Tech, Sociedad Anónima</w:t>
      </w:r>
      <w:r>
        <w:rPr>
          <w:rFonts w:ascii="Calibri" w:eastAsia="Calibri" w:hAnsi="Calibri" w:cs="Calibri"/>
          <w:color w:val="000000"/>
          <w:sz w:val="24"/>
          <w:szCs w:val="24"/>
          <w:lang w:val="es-ES"/>
        </w:rPr>
        <w:t xml:space="preserve"> (en adelante, la “Sociedad” o “Propi”) es una entidad cuya actividad principal es la promoción de bienes inmuebles propios o de terceros, a través de una herramienta tecnológica desarrollada internamente. Como </w:t>
      </w:r>
      <w:r>
        <w:rPr>
          <w:rFonts w:ascii="Calibri" w:eastAsia="Calibri" w:hAnsi="Calibri" w:cs="Calibri"/>
          <w:b/>
          <w:bCs/>
          <w:color w:val="000000"/>
          <w:sz w:val="24"/>
          <w:szCs w:val="24"/>
          <w:lang w:val="es-ES"/>
        </w:rPr>
        <w:t>Proptech</w:t>
      </w:r>
      <w:r>
        <w:rPr>
          <w:rFonts w:ascii="Calibri" w:eastAsia="Calibri" w:hAnsi="Calibri" w:cs="Calibri"/>
          <w:color w:val="000000"/>
          <w:sz w:val="24"/>
          <w:szCs w:val="24"/>
          <w:lang w:val="es-ES"/>
        </w:rPr>
        <w:t>, buscamos democratizar el mercado inmobiliario, creando oportunidades para todos los participantes mediante un servicio integral (</w:t>
      </w:r>
      <w:r>
        <w:rPr>
          <w:rFonts w:ascii="Calibri" w:eastAsia="Calibri" w:hAnsi="Calibri" w:cs="Calibri"/>
          <w:b/>
          <w:bCs/>
          <w:color w:val="000000"/>
          <w:sz w:val="24"/>
          <w:szCs w:val="24"/>
          <w:lang w:val="es-ES"/>
        </w:rPr>
        <w:t>end-to-end</w:t>
      </w:r>
      <w:r>
        <w:rPr>
          <w:rFonts w:ascii="Calibri" w:eastAsia="Calibri" w:hAnsi="Calibri" w:cs="Calibri"/>
          <w:color w:val="000000"/>
          <w:sz w:val="24"/>
          <w:szCs w:val="24"/>
          <w:lang w:val="es-ES"/>
        </w:rPr>
        <w:t>) enfocado en la eficiencia y transparencia para propietarios, inquilinos, agentes y desarrolladores inmobiliarios.</w:t>
      </w:r>
    </w:p>
    <w:p w14:paraId="6419FA00" w14:textId="77777777" w:rsidR="0057078F" w:rsidRPr="0057078F" w:rsidRDefault="0057078F" w:rsidP="00027F70">
      <w:pPr>
        <w:spacing w:line="276" w:lineRule="auto"/>
        <w:jc w:val="both"/>
        <w:rPr>
          <w:rFonts w:ascii="Calibri" w:eastAsia="Calibri" w:hAnsi="Calibri" w:cs="Calibri"/>
          <w:color w:val="000000"/>
          <w:sz w:val="24"/>
          <w:szCs w:val="24"/>
          <w:lang w:val="es-ES"/>
        </w:rPr>
      </w:pPr>
    </w:p>
    <w:p w14:paraId="110322CE" w14:textId="77777777" w:rsidR="0057078F" w:rsidRPr="0057078F" w:rsidRDefault="0057078F" w:rsidP="00027F70">
      <w:pPr>
        <w:widowControl w:val="0"/>
        <w:pBdr>
          <w:top w:val="nil"/>
          <w:left w:val="nil"/>
          <w:bottom w:val="nil"/>
          <w:right w:val="nil"/>
          <w:between w:val="nil"/>
        </w:pBdr>
        <w:spacing w:after="0" w:line="276" w:lineRule="auto"/>
        <w:ind w:right="51"/>
        <w:jc w:val="both"/>
        <w:rPr>
          <w:rFonts w:ascii="Calibri" w:eastAsia="Calibri" w:hAnsi="Calibri" w:cs="Calibri"/>
          <w:color w:val="000000"/>
          <w:sz w:val="24"/>
          <w:szCs w:val="24"/>
          <w:lang w:val="es-ES"/>
        </w:rPr>
      </w:pPr>
      <w:r>
        <w:rPr>
          <w:rFonts w:ascii="Calibri" w:eastAsia="Calibri" w:hAnsi="Calibri" w:cs="Calibri"/>
          <w:color w:val="000000"/>
          <w:sz w:val="24"/>
          <w:szCs w:val="24"/>
          <w:lang w:val="es-ES"/>
        </w:rPr>
        <w:t xml:space="preserve">Por consiguiente, Propi Tech, Sociedad Anónima es Persona Obligada de conformidad con el artículo 3, literal c), numeral 1, romano i, del Decreto Número 15-2026 del Congreso de la República, Ley Integral para la Prevención y Represión del Lavado de Dinero u Otros Activos y del Financiamiento del Terrorismo, por dedicarse a la promoción e intermediación inmobiliaria o compraventa de bienes inmuebles, y se encuentra inscrita ante la Superintendencia de Bancos a través de la Intendencia de Verificación Especial (IVE), conforme al artículo 5 de dicha Ley.</w:t>
      </w:r>
    </w:p>
    <w:p w14:paraId="73880DFC" w14:textId="77777777" w:rsidR="001815AC" w:rsidRPr="0057078F" w:rsidRDefault="001815AC" w:rsidP="0057078F">
      <w:pPr>
        <w:spacing w:after="0" w:line="276" w:lineRule="auto"/>
        <w:rPr>
          <w:rFonts w:ascii="Calibri" w:eastAsia="Calibri" w:hAnsi="Calibri" w:cs="Calibri"/>
          <w:color w:val="1A1A1A"/>
          <w:sz w:val="24"/>
          <w:szCs w:val="24"/>
        </w:rPr>
      </w:pPr>
    </w:p>
    <w:p w14:paraId="458D7781"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b/>
          <w:color w:val="000000"/>
          <w:sz w:val="24"/>
          <w:szCs w:val="24"/>
        </w:rPr>
        <w:t xml:space="preserve">Propi</w:t>
      </w:r>
      <w:r>
        <w:rPr>
          <w:rFonts w:ascii="Calibri" w:eastAsia="Calibri" w:hAnsi="Calibri" w:cs="Calibri"/>
          <w:color w:val="000000"/>
          <w:sz w:val="24"/>
          <w:szCs w:val="24"/>
        </w:rPr>
        <w:t xml:space="preserve"> adopta el siguiente manual con el propósito de adecuar, bajo los parámetros de la normativa vigente, las políticas y procedimientos necesarios para controlar y gestionar el riesgo contra el Lavado de Dinero u Otros Activos, el Financiamiento del Terrorismo y el Financiamiento de la Proliferación de Armas de Destrucción Masiva (LD/FT/FPADM), en función de los riesgos a los cuales puede estar expuesta; así mismo su objeto es promover una cultura orientada a utilizar y hacer valer las normas establecidas para la administración del riesgo de “LD/FT/FPADM” lo cual involucra lineamientos de prevención, detección, control y monitoreo de actividades delictivas y sus riesgos asociados.</w:t>
      </w:r>
    </w:p>
    <w:p w14:paraId="5F2E6C8C"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 </w:t>
      </w:r>
    </w:p>
    <w:p w14:paraId="13072B27"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Su finalidad principal consiste en controlar, generar conciencia y exigir reacción sobre la latente posibilidad de ser utilizada para dar apariencia de legalidad a activos provenientes de actividades delictivas o para la canalización de recursos hacia la realización de actividades terroristas.</w:t>
      </w:r>
    </w:p>
    <w:p>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Declaración de cumplimiento. Propi declara su compromiso de cumplir el Decreto 15-2026, su reglamentación y las disposiciones de la Superintendencia de Bancos a través de la IVE; de adoptar, ejecutar y mantener los programas, políticas, procedimientos y controles contenidos en este Manual y en sus documentos complementarios; de presentar los reportes y atender los requerimientos de la IVE en la forma y plazo establecidos; de conservar sus registros; de mantener la confidencialidad que la Ley impone; de capacitar a su personal y colaboradores; y de aplicar el régimen disciplinario a quien incumpla estas obligaciones.</w:t>
      </w:r>
    </w:p>
    <w:p>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es el documento marco del Sistema Integral de Prevención de Propi. Las políticas, procedimientos, reglamentos, códigos y formatos que lo desarrollan son documentos complementarios independientes, se enumeran en el Anexo «Documentos que integran el Sistema de Prevención», se aplican en su versión vigente y en ningún caso pueden contradecir lo dispuesto en este Manual, el cual prevalece.</w:t>
      </w:r>
    </w:p>
    <w:p w14:paraId="150F270D" w14:textId="77777777" w:rsidR="001815AC" w:rsidRPr="0057078F" w:rsidRDefault="00000000" w:rsidP="0057078F">
      <w:pPr>
        <w:pStyle w:val="Heading1"/>
        <w:spacing w:line="276" w:lineRule="auto"/>
        <w:rPr>
          <w:rFonts w:cs="Calibri"/>
        </w:rPr>
      </w:pPr>
      <w:bookmarkStart w:id="260" w:name="_Toc176997887"/>
      <w:r>
        <w:rPr>
          <w:rFonts w:cs="Calibri"/>
        </w:rPr>
        <w:lastRenderedPageBreak/>
        <w:t>OBJETIVOS</w:t>
      </w:r>
      <w:bookmarkEnd w:id="260"/>
      <w:r>
        <w:rPr>
          <w:rFonts w:cs="Calibri"/>
        </w:rPr>
        <w:t xml:space="preserve"> </w:t>
      </w:r>
    </w:p>
    <w:p w14:paraId="0159D3D3" w14:textId="77777777" w:rsidR="001815AC" w:rsidRPr="0057078F" w:rsidRDefault="00000000" w:rsidP="0057078F">
      <w:pPr>
        <w:pStyle w:val="Heading2"/>
        <w:numPr>
          <w:ilvl w:val="0"/>
          <w:numId w:val="7"/>
        </w:numPr>
        <w:spacing w:line="276" w:lineRule="auto"/>
        <w:rPr>
          <w:rFonts w:cs="Calibri"/>
          <w:b/>
        </w:rPr>
      </w:pPr>
      <w:bookmarkStart w:id="261" w:name="_Toc176997888"/>
      <w:r>
        <w:rPr>
          <w:rFonts w:cs="Calibri"/>
          <w:b/>
        </w:rPr>
        <w:t>GENERALES</w:t>
      </w:r>
      <w:bookmarkEnd w:id="261"/>
      <w:r>
        <w:rPr>
          <w:rFonts w:cs="Calibri"/>
          <w:b/>
        </w:rPr>
        <w:t xml:space="preserve"> </w:t>
      </w:r>
    </w:p>
    <w:p w14:paraId="6E1FFEAC" w14:textId="77777777" w:rsidR="001815AC" w:rsidRPr="0057078F" w:rsidRDefault="001815AC" w:rsidP="0057078F">
      <w:pPr>
        <w:spacing w:line="276" w:lineRule="auto"/>
        <w:rPr>
          <w:rFonts w:ascii="Calibri" w:eastAsia="Calibri" w:hAnsi="Calibri" w:cs="Calibri"/>
          <w:color w:val="1A1A1A"/>
          <w:sz w:val="24"/>
          <w:szCs w:val="24"/>
        </w:rPr>
      </w:pPr>
    </w:p>
    <w:p w14:paraId="5C79EF17"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Contribuir al cumplimiento de los objetivos de </w:t>
      </w:r>
      <w:r>
        <w:rPr>
          <w:rFonts w:ascii="Calibri" w:eastAsia="Calibri" w:hAnsi="Calibri" w:cs="Calibri"/>
          <w:b/>
          <w:color w:val="000000"/>
          <w:sz w:val="24"/>
          <w:szCs w:val="24"/>
        </w:rPr>
        <w:t>Propi</w:t>
      </w:r>
      <w:r>
        <w:rPr>
          <w:rFonts w:ascii="Calibri" w:eastAsia="Calibri" w:hAnsi="Calibri" w:cs="Calibri"/>
          <w:color w:val="1A1A1A"/>
          <w:sz w:val="24"/>
          <w:szCs w:val="24"/>
        </w:rPr>
        <w:t xml:space="preserve">, implementando un Sistema Integral de Prevención contra el LD/FT/FPADM, que contenga principios básicos de comportamiento que debe observar el personal en sus relaciones con clientes, proveedores, y autoridades competentes, buscando prevenir que la sociedad sea utilizada directa o indirectamente para realizar actividades delictivas, especialmente las de LD/FT/FPADM. </w:t>
      </w:r>
    </w:p>
    <w:p w14:paraId="4CD62C3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F6BBC55" w14:textId="77777777" w:rsidR="001815AC" w:rsidRPr="0057078F" w:rsidRDefault="00000000" w:rsidP="0057078F">
      <w:pPr>
        <w:pStyle w:val="Heading2"/>
        <w:numPr>
          <w:ilvl w:val="0"/>
          <w:numId w:val="7"/>
        </w:numPr>
        <w:spacing w:line="276" w:lineRule="auto"/>
        <w:rPr>
          <w:rFonts w:cs="Calibri"/>
          <w:b/>
        </w:rPr>
      </w:pPr>
      <w:bookmarkStart w:id="262" w:name="_Toc176997889"/>
      <w:r>
        <w:rPr>
          <w:rFonts w:cs="Calibri"/>
          <w:b/>
        </w:rPr>
        <w:t>ESPECÍFICOS</w:t>
      </w:r>
      <w:bookmarkEnd w:id="262"/>
    </w:p>
    <w:p w14:paraId="7324EE1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a) Contribuir al cumplimiento de normas, leyes, regulaciones y mejores prácticas en materia de prevención del lavado de dinero u otros activos, del financiamiento del terrorismo y del financiamiento de la proliferación de armas de destrucción masiva (LD/FT/FPADM). </w:t>
      </w:r>
    </w:p>
    <w:p w14:paraId="6ACF6AD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Dar a conocer las responsabilidades de la Sociedad frente a los riesgos del LD/FT/FPADM. </w:t>
      </w:r>
    </w:p>
    <w:p w14:paraId="324346B9"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c) Establecer las bases para incorporar los controles necesarios para mitigar los riesgos de LD/FT/FPADM en los procedimientos y actividades de la Sociedad.  </w:t>
      </w:r>
    </w:p>
    <w:p w14:paraId="59FD0817" w14:textId="77777777" w:rsidR="001815AC" w:rsidRPr="0057078F" w:rsidRDefault="00000000" w:rsidP="0057078F">
      <w:pPr>
        <w:pStyle w:val="Heading1"/>
        <w:spacing w:line="276" w:lineRule="auto"/>
        <w:rPr>
          <w:rFonts w:cs="Calibri"/>
        </w:rPr>
      </w:pPr>
      <w:bookmarkStart w:id="263" w:name="_Toc176997890"/>
      <w:r>
        <w:rPr>
          <w:rFonts w:cs="Calibri"/>
        </w:rPr>
        <w:t>ALCANCE</w:t>
      </w:r>
      <w:bookmarkEnd w:id="263"/>
      <w:r>
        <w:rPr>
          <w:rFonts w:cs="Calibri"/>
        </w:rPr>
        <w:t xml:space="preserve"> </w:t>
      </w:r>
    </w:p>
    <w:p w14:paraId="5B2C2EE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es de observancia obligatoria para todo el personal de Propi, sus directores, agentes, corredores externos, intermediarios y demás colaboradores, cualquiera que sea la forma jurídica de su contratación; asimismo, aplica a todas las operaciones relacionadas con los servicios prestados por Propi.</w:t>
      </w:r>
    </w:p>
    <w:p w14:paraId="490F1D05" w14:textId="77777777" w:rsidR="001815AC" w:rsidRPr="0057078F" w:rsidRDefault="00000000" w:rsidP="0057078F">
      <w:pPr>
        <w:pStyle w:val="Heading1"/>
        <w:spacing w:line="276" w:lineRule="auto"/>
        <w:rPr>
          <w:rFonts w:cs="Calibri"/>
        </w:rPr>
      </w:pPr>
      <w:bookmarkStart w:id="264" w:name="_Toc176997891"/>
      <w:r>
        <w:rPr>
          <w:rFonts w:cs="Calibri"/>
        </w:rPr>
        <w:t>NORMATIVA APLICABLE</w:t>
      </w:r>
      <w:bookmarkEnd w:id="264"/>
    </w:p>
    <w:p w14:paraId="50C57629" w14:textId="43792BD0" w:rsidR="001815AC" w:rsidRPr="0057078F" w:rsidRDefault="00000000"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Decreto Número 15-2026 del Congreso de la República, Ley Integral para la Prevención y Represión del Lavado de Dinero u Otros Activos y del Financiamiento del Terrorismo (vigente desde el 17 de septiembre de 2026).</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El Reglamento de la Ley Integral, una vez emitido conforme a su artículo 127, y las disposiciones administrativas que emita la Superintendencia de Bancos a través de la Intendencia de Verificación Especial (artículo 52, literal e).</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Las resoluciones del Consejo de Seguridad de las Naciones Unidas en materia de terrorismo, financiamiento del terrorismo y financiamiento de la proliferación de armas de destrucción masiva (artículo 43).</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Las Recomendaciones del Grupo de Acción Financiera Internacional (GAFI), como estándar de referencia.</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El Decreto 15-2026 derogó la Ley Contra el Lavado de Dinero u Otros Activos (Decreto 67-2001) y la Ley para Prevenir y Reprimir el Financiamiento del Terrorismo (Decreto 58-2005) (artículo 126), y dispone que toda referencia a dichas leyes contenida en la legislación, reglamentos u otras disposiciones aplicables se entienda hecha a la Ley Integral (artículo 125). En congruencia con ello, y en tanto se actualizan, toda referencia a las leyes derogadas contenida en las políticas, procedimientos, formularios y demás documentos internos de Propi se entenderá hecha al Decreto 15-2026 y a su reglamentación.</w:t>
      </w:r>
    </w:p>
    <w:p w14:paraId="4252EDF8" w14:textId="77777777" w:rsidR="001815AC" w:rsidRPr="0057078F" w:rsidRDefault="00000000" w:rsidP="0057078F">
      <w:pPr>
        <w:pStyle w:val="Heading1"/>
        <w:spacing w:line="276" w:lineRule="auto"/>
        <w:rPr>
          <w:rFonts w:cs="Calibri"/>
        </w:rPr>
      </w:pPr>
      <w:bookmarkStart w:id="284" w:name="_Toc176997892"/>
      <w:r>
        <w:rPr>
          <w:rFonts w:cs="Calibri"/>
        </w:rPr>
        <w:t>GLOSARIO</w:t>
      </w:r>
      <w:bookmarkEnd w:id="284"/>
    </w:p>
    <w:p w14:paraId="2D48EEF9" w14:textId="1A7EC786"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Archivo o Registro: conjunto de datos y documentos que se mantengan o almacenen en formato impreso, o mediante medios electrónicos, ópticos o cualquier otra tecnología, siempre que, en estos medios, se garantice la integridad e inalterabilidad de la información desde el momento en que fue generada en su forma definitiva y que sea accesible para consultas posteriores.</w:t>
      </w:r>
    </w:p>
    <w:p w14:paraId="240A2A81" w14:textId="7D11C1E8"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Armas de Destrucción Masiva: de conformidad con la resolución Nº 687 del Consejo de Seguridad de Naciones Unidas, son las armas nucleares, químicas y biológicas, y sus sistemas de lanzamiento.</w:t>
      </w:r>
    </w:p>
    <w:p w14:paraId="322D43F6" w14:textId="7A8E71AA"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Asociados cercanos: personas individuales que, respecto de una Persona Expuesta Políticamente, figuren como socios, accionistas, representantes legales, directores o apoderados en común con ella en personas jurídicas o estructuras jurídicas, o que sean beneficiarios finales de esas mismas entidades (artículo 2, literal a, del Decreto 15-2026).</w:t>
      </w:r>
    </w:p>
    <w:p w14:paraId="350D4B04"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Beneficiario final: persona individual que, en última instancia y por cualquier medio o mecanismo, se beneficie de las relaciones de negocios, ejerce el control efectivo, o ambas, de las personas jurídicas o estructuras jurídicas, ya sea por medio de la titularidad del capital o participación en un porcentaje igual o mayor al quince por ciento (≥ 15 %), o por cualquier otro medio, en forma directa o indirecta. La propiedad y el control en última instancia comprenden el control directo o indirecto, solo o conjuntamente, incluso a través de una cadena de propiedad o por medio de la toma de decisiones (artículo 2, literal b).</w:t>
      </w:r>
    </w:p>
    <w:p w14:paraId="5A039C1D"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Cliente: persona individual, persona jurídica o estructura jurídica con la cual Propi establece, mantiene o ha mantenido una relación de negocios, a la cual se le proporciona o presta cualquier bien, producto o servicio, de forma habitual u ocasional, derivado de su giro de negocios, independientemente de cómo se le denomine (artículo 2, literal c).</w:t>
      </w:r>
    </w:p>
    <w:p w14:paraId="5788DF33" w14:textId="3A06F81C"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Contrapartes: personas individuales o jurídicas con las cuales se tienen vínculos de negocios, contractuales o jurídicos de cualquier orden.</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Contratista y Proveedor del Estado: personas individuales o jurídicas que suscriben contratos bajo cualquier modalidad de adquisición pública o que se encuentran inscritas y precalificadas en el Registro General de Adquisiciones del Estado (artículo 2, literales d y h); dan lugar a medidas de debida diligencia adicionales (artículo 25, literal b).</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Cónyuge o conviviente: persona unida a la PEP por matrimonio o por unión de hecho, incluida la relación estable de convivencia aunque no esté formalizada.</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Debida diligencia del cliente (DDC): proceso de análisis conforme a las normas, políticas, procedimientos y controles de Propi que permite identificar, conocer y verificar la identidad de los clientes, de quienes actúan en su nombre y de sus beneficiarios finales, el propósito de la relación de negocios y las transacciones que realicen (artículo 2, literal e).</w:t>
      </w:r>
    </w:p>
    <w:p w14:paraId="0F9C975A" w14:textId="12547DD2" w:rsidR="00700EB3" w:rsidRPr="0057078F" w:rsidRDefault="00700EB3"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Destrucción de Registros: proceso mediante el cual se elimina de manera definitiva la información almacenada en los archivos, tanto en formato físico como electrónico, tras cumplir con los requisitos de tiempo y relevancia establecidos.</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Estructura jurídica: forma de integración o asociación de personas jurídicas o individuales constituida conforme a las leyes de Guatemala o de otra jurisdicción, sin importar su naturaleza, incluidos los fideicomisos y fundaciones, y aquellas que no hayan sido formalizadas como personas jurídicas (artículo 2, literal f).</w:t>
      </w:r>
    </w:p>
    <w:p w14:paraId="581D2FC9" w14:textId="6303802D" w:rsidR="0057078F" w:rsidRPr="0057078F" w:rsidRDefault="0057078F"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lang w:val="es-ES"/>
        </w:rPr>
        <w:t xml:space="preserve">Financiamiento de la Proliferación de Armas de Destrucción Masiva (FPADM):</w:t>
      </w:r>
      <w:r>
        <w:rPr>
          <w:rFonts w:ascii="Calibri" w:eastAsia="Calibri" w:hAnsi="Calibri" w:cs="Calibri"/>
          <w:color w:val="1A1A1A"/>
          <w:sz w:val="24"/>
          <w:szCs w:val="24"/>
          <w:lang w:val="es-ES"/>
        </w:rPr>
        <w:t xml:space="preserve"> provisión de recursos, dinero o apoyo financiero utilizado para desarrollar, adquirir, fabricar o distribuir armas de destrucción masiva, como armas nucleares, químicas o biológicas.</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Financiamiento del Terrorismo (FT): conducta de quien, por el medio que fuere, directa o indirectamente, proporcione, provea, done, recolecte, transfiera, entregue, adquiera, posea, administre, negocie o gestione fondos, dinero, recursos económicos, activos o cualquier clase de bienes con la intención o a sabiendas de que serán utilizados, en todo o en parte, para el terrorismo, en los términos del artículo 78 del Decreto 15-2026.</w:t>
      </w:r>
    </w:p>
    <w:p w14:paraId="5F798EF4" w14:textId="723130D0" w:rsidR="003E3C2C" w:rsidRPr="0057078F" w:rsidRDefault="003E3C2C"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Firma Electrónica Avanzada: conjunto de datos electrónicos que acompañan o están lógicamente asociados a un mensaje de datos, los cuales permiten identificar al firmante y aseguran la integridad de la información firmada, de manera que cualquier modificación posterior sea detectable. La firma debe estar vinculada de forma única al firmante y ser creada bajo su control exclusivo. Resultado de utilizar un certificado digital y otras medidas de seguridad para firmar electrónicamente un documento.</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Intendencia de Verificación Especial (IVE): intendencia que forma parte de la estructura orgánica de la Superintendencia de Bancos, encargada de la recepción y análisis de información y, cuando proceda, de la difusión de inteligencia financiera a las autoridades competentes, así como de la supervisión de las Personas Obligadas en materia LD/FT; ejerce sus funciones en el ámbito estrictamente administrativo (artículos 51 y 52 del Decreto 15-2026). La persecución penal corresponde al Ministerio Público.</w:t>
      </w:r>
    </w:p>
    <w:p w14:paraId="3A1AD6B2" w14:textId="57677764" w:rsidR="0057078F" w:rsidRPr="0057078F" w:rsidRDefault="0057078F"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Lavado de Dinero u Otros Activos (LD): conducta tipificada en el artículo 73 del Decreto 15-2026, consistente en invertir, convertir, transferir, adquirir, poseer, administrar, tener, utilizar, ocultar o impedir la determinación de la verdadera naturaleza u origen de bienes o dinero, sabiendo que son producto, proceden o se originan de la comisión de un delito.</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Oficial de Cumplimiento: funcionario o ejecutivo de alta gerencia, nombrado por el órgano de dirección superior de Propi junto con su suplente, encargado de vigilar el cumplimiento de los Programas de Prevención LD/FT/FPADM y de las obligaciones que establece el Decreto 15-2026, su reglamentación y demás disposiciones aplicables; es el único enlace entre Propi y la Superintendencia de Bancos a través de la IVE (artículo 16).</w:t>
      </w:r>
    </w:p>
    <w:p w14:paraId="3EA30165"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PEP: Persona Expuesta Políticamente. </w:t>
      </w:r>
    </w:p>
    <w:p w14:paraId="0E79594F" w14:textId="77A38396"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Persona individual que desempeña o haya desempeñado cargos públicos prominentes en Guatemala o en otro país, o a quien se le ha confiado una función prominente en una organización internacional. Los cargos públicos prominentes son los que establezca la Superintendencia de Bancos mediante la resolución anual prevista en el artículo 2, literal g), del Decreto 15-2026.</w:t>
      </w:r>
    </w:p>
    <w:p w14:paraId="73DA02FB" w14:textId="4EC735D4"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condición de PEP se adquiere desde la toma legal de posesión del cargo y se mantiene durante un (1) año posterior al cese de las funciones, vencido el cual la persona deja de ser considerada PEP sin necesidad de trámite alguno. La condición de PEP es de carácter preventivo y no limita por sí sola el acceso a los servicios de Propi.</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Persona Obligada: persona individual o jurídica comprendida en el artículo 3 del Decreto 15-2026. Propi lo es en virtud de la literal c), numeral 1, romano i, de dicho artículo.</w:t>
      </w:r>
    </w:p>
    <w:p w14:paraId="08DA7980" w14:textId="4E96DD62"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Personas vinculadas a una PEP: para efectos de las medidas de debida diligencia adicionales del artículo 25, literal a), del Decreto 15-2026, son los parientes de la PEP dentro del primer grado de consanguinidad, su cónyuge o conviviente y sus asociados cercanos, incluidas las personas jurídicas o estructuras jurídicas en las que estos sean beneficiarios finales.</w:t>
      </w:r>
    </w:p>
    <w:p w14:paraId="0DB14AA7" w14:textId="17112C3A"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Proliferación de Armas de Destrucción Masiva: es todo acto que provea fondos o utilice servicios financieros, en todo o en parte, para la fabricación, adquisición, posesión, desarrollo, exportación, trasiego de material, fraccionamiento, transporte, transferencia, depósito o uso de armas nucleares, químicas o biológicas, o de sus medios de lanzamiento.</w:t>
      </w:r>
    </w:p>
    <w:p w14:paraId="658998B2"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Proveedor: persona individual o jurídica que abastece de productos o servicios a Propi.</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Relación de negocios: cualquier relación contractual, profesional, comercial o de servicios entre Propi y el cliente (artículo 2, literal j). Para Propi se inicia con la reserva del inmueble o con la firma del contrato de Alianza Comercial o del contrato que corresponda según la contraparte, y se entiende finalizada con el pago de la última comisión a la Sociedad.</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Reporte de Transacción Sospechosa (RTS): reporte que Propi, a través de su Oficial de Cumplimiento, remite con prontitud, de forma exclusiva y confidencial, a la Superintendencia de Bancos a través de la IVE respecto de toda transacción sospechosa (artículo 30).</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Riesgo LD/FT/FPADM: contingencia de pérdida, daño u otra consecuencia adversa a que está expuesta Propi de ser utilizada, directa o indirectamente, para actividades de lavado de dinero u otros activos, financiamiento del terrorismo o financiamiento de la proliferación de armas de destrucción masiva (artículo 2, literal k).</w:t>
      </w:r>
    </w:p>
    <w:p w14:paraId="6AB3CF0F"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Señales de alerta: hechos, situaciones, eventos, indicadores cuantitativos y cualitativos, a partir de los cuales se puede inferir la posible existencia de un hecho o situación que pueda estar relacionada a una actividad ilícita.</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Sospecha: apreciación razonada y documentada, basada en indicios objetivos o verificables, que genere motivos razonables para considerar una posible vinculación de una transacción con el LD/FT, sin que sea necesaria la certeza técnica o la prueba plena de la comisión de un ilícito (artículo 2, literal l).</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toda operación financiera o comercial que implique la transferencia, adquisición, depósito, retiro, intercambio o administración de fondos, bienes, valores u otros activos, realizada por un cliente o por un tercero en su nombre, a través de Propi, siempre que genere un registro verificable, implique la movilización o disposición de activos y corresponda a los servicios regulados que presta (artículo 2, literal m).</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inusual: transacción, operación o acto que por su monto, características o frecuencia no se ajusta al perfil de riesgo del cliente, sin una justificación económica o legal razonable (artículo 2, literal n).</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sospechosa: transacción inusual, concluida o no, debidamente examinada y documentada por Propi que, tras analizarla y aplicar las medidas de debida diligencia, carece de fundamento económico o legal evidente y respecto de la cual Propi sospecha o tiene motivos razonables para sospechar que los fondos proceden o se destinan a una actividad delictiva o al financiamiento del terrorismo (artículo 2, literal o).</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Transacciones en efectivo sujetas a registro y reporte: toda transacción en efectivo, única o estructurada, que Propi reciba de sus clientes por un monto igual o mayor a diez mil dólares de los Estados Unidos de América (US$ 10,000.00) o su equivalente en moneda nacional o cualquier otra divisa, que debe registrarse diariamente y reportarse periódicamente a la IVE (artículo 31). Los umbrales aplicables a transacciones por otros medios se rigen por el Procedimiento de Reportes vigente.</w:t>
      </w:r>
    </w:p>
    <w:p w14:paraId="2AA2C6FF" w14:textId="77777777" w:rsidR="001815AC" w:rsidRPr="0057078F" w:rsidRDefault="00000000" w:rsidP="0057078F">
      <w:pPr>
        <w:pStyle w:val="Heading1"/>
        <w:spacing w:line="276" w:lineRule="auto"/>
        <w:rPr>
          <w:rFonts w:cs="Calibri"/>
        </w:rPr>
      </w:pPr>
      <w:bookmarkStart w:id="346" w:name="_Toc176997893"/>
      <w:r>
        <w:rPr>
          <w:rFonts w:cs="Calibri"/>
        </w:rPr>
        <w:t xml:space="preserve">ESTRUCTURA ORGANIZATIVA PARA LA PREVENCIÓN DE LOS DELITOS DE LD/FT/FPADM</w:t>
      </w:r>
      <w:bookmarkEnd w:id="346"/>
    </w:p>
    <w:p w14:paraId="41B8F8EE" w14:textId="77777777" w:rsidR="001815AC" w:rsidRPr="0057078F" w:rsidRDefault="001815AC" w:rsidP="0057078F">
      <w:pPr>
        <w:spacing w:line="276" w:lineRule="auto"/>
        <w:rPr>
          <w:rFonts w:ascii="Calibri" w:eastAsia="Calibri" w:hAnsi="Calibri" w:cs="Calibri"/>
          <w:color w:val="1A1A1A"/>
          <w:sz w:val="24"/>
          <w:szCs w:val="24"/>
        </w:rPr>
      </w:pPr>
    </w:p>
    <w:p w14:paraId="7032A98F" w14:textId="77777777" w:rsidR="001815AC" w:rsidRPr="0057078F" w:rsidRDefault="00000000" w:rsidP="0057078F">
      <w:pPr>
        <w:pStyle w:val="Heading2"/>
        <w:numPr>
          <w:ilvl w:val="0"/>
          <w:numId w:val="5"/>
        </w:numPr>
        <w:spacing w:line="276" w:lineRule="auto"/>
        <w:rPr>
          <w:rFonts w:cs="Calibri"/>
        </w:rPr>
      </w:pPr>
      <w:bookmarkStart w:id="347" w:name="_Toc176997894"/>
      <w:r>
        <w:rPr>
          <w:rFonts w:cs="Calibri"/>
        </w:rPr>
        <w:t>RESPONSABILIDADES GENERALES</w:t>
      </w:r>
      <w:bookmarkEnd w:id="347"/>
      <w:r>
        <w:rPr>
          <w:rFonts w:cs="Calibri"/>
        </w:rPr>
        <w:t xml:space="preserve"> </w:t>
      </w:r>
    </w:p>
    <w:p w14:paraId="629FD0C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818550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principal deber del personal de </w:t>
      </w:r>
      <w:r>
        <w:rPr>
          <w:rFonts w:ascii="Calibri" w:eastAsia="Calibri" w:hAnsi="Calibri" w:cs="Calibri"/>
          <w:b/>
          <w:color w:val="000000"/>
          <w:sz w:val="24"/>
          <w:szCs w:val="24"/>
        </w:rPr>
        <w:t>Propi</w:t>
      </w:r>
      <w:r>
        <w:rPr>
          <w:rFonts w:ascii="Calibri" w:eastAsia="Calibri" w:hAnsi="Calibri" w:cs="Calibri"/>
          <w:color w:val="000000"/>
          <w:sz w:val="24"/>
          <w:szCs w:val="24"/>
        </w:rPr>
        <w:t>,</w:t>
      </w:r>
      <w:r>
        <w:rPr>
          <w:rFonts w:ascii="Calibri" w:eastAsia="Calibri" w:hAnsi="Calibri" w:cs="Calibri"/>
          <w:color w:val="1A1A1A"/>
          <w:sz w:val="24"/>
          <w:szCs w:val="24"/>
        </w:rPr>
        <w:t xml:space="preserve"> es mantener un estricto compromiso con las normas, políticas y procedimientos sobre la prevención y control de los riesgos de LD/FT/FPADM, el cual se refleja en el cumplimiento de los siguientes deberes: </w:t>
      </w:r>
    </w:p>
    <w:p w14:paraId="4883C4D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22436C5"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a) Conocer las disposiciones del Decreto Número 15-2026 del Congreso de la República, Ley Integral para la Prevención y Represión del Lavado de Dinero u Otros Activos y del Financiamiento del Terrorismo, su reglamentación y las disposiciones que emita la Superintendencia de Bancos a través de la IVE, y observarlas en el desempeño de sus funciones.</w:t>
      </w:r>
    </w:p>
    <w:p w14:paraId="4255C6EF"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Aplicar en su trabajo las políticas, procedimientos, e instrucciones establecidas por </w:t>
      </w:r>
      <w:r>
        <w:rPr>
          <w:rFonts w:ascii="Calibri" w:eastAsia="Calibri" w:hAnsi="Calibri" w:cs="Calibri"/>
          <w:b/>
          <w:color w:val="000000"/>
          <w:sz w:val="24"/>
          <w:szCs w:val="24"/>
        </w:rPr>
        <w:t xml:space="preserve">Propi </w:t>
      </w:r>
      <w:r>
        <w:rPr>
          <w:rFonts w:ascii="Calibri" w:eastAsia="Calibri" w:hAnsi="Calibri" w:cs="Calibri"/>
          <w:color w:val="1A1A1A"/>
          <w:sz w:val="24"/>
          <w:szCs w:val="24"/>
        </w:rPr>
        <w:t xml:space="preserve">orientadas a prevenir que las operaciones que se realicen sean utilizadas directa o indirectamente para el LD/FT/FPADM. </w:t>
      </w:r>
    </w:p>
    <w:p w14:paraId="6FBD8E79" w14:textId="77777777" w:rsidR="001815AC" w:rsidRPr="0057078F" w:rsidRDefault="00000000" w:rsidP="0057078F">
      <w:pPr>
        <w:pBdr>
          <w:top w:val="nil"/>
          <w:left w:val="nil"/>
          <w:bottom w:val="nil"/>
          <w:right w:val="nil"/>
          <w:between w:val="nil"/>
        </w:pBdr>
        <w:spacing w:after="0" w:line="276" w:lineRule="auto"/>
        <w:ind w:left="284"/>
        <w:jc w:val="both"/>
        <w:rPr>
          <w:rFonts w:ascii="Calibri" w:eastAsia="Calibri" w:hAnsi="Calibri" w:cs="Calibri"/>
          <w:color w:val="1A1A1A"/>
          <w:sz w:val="24"/>
          <w:szCs w:val="24"/>
        </w:rPr>
      </w:pPr>
      <w:r>
        <w:rPr>
          <w:rFonts w:ascii="Calibri" w:eastAsia="Calibri" w:hAnsi="Calibri" w:cs="Calibri"/>
          <w:color w:val="1A1A1A"/>
          <w:sz w:val="24"/>
          <w:szCs w:val="24"/>
        </w:rPr>
        <w:t xml:space="preserve">c) Anteponer el cumplimiento de las normas en materia de prevención del LD/FT/FPADM al logro de las metas comerciales y asegurar que las operaciones se lleven a cabo de manera responsable y segura.</w:t>
      </w:r>
    </w:p>
    <w:p>
      <w:pPr>
        <w:pBdr>
          <w:top w:val="nil"/>
          <w:left w:val="nil"/>
          <w:bottom w:val="nil"/>
          <w:right w:val="nil"/>
          <w:between w:val="nil"/>
        </w:pBdr>
        <w:spacing w:after="0" w:line="276" w:lineRule="auto"/>
        <w:ind w:left="284"/>
        <w:jc w:val="both"/>
        <w:rPr>
          <w:rFonts w:ascii="Calibri" w:eastAsia="Calibri" w:hAnsi="Calibri" w:cs="Calibri"/>
          <w:color w:val="1A1A1A"/>
          <w:sz w:val="24"/>
          <w:szCs w:val="24"/>
        </w:rPr>
      </w:pPr>
      <w:r>
        <w:rPr>
          <w:rFonts w:ascii="Calibri" w:eastAsia="Calibri" w:hAnsi="Calibri" w:cs="Calibri"/>
          <w:color w:val="1A1A1A"/>
          <w:sz w:val="24"/>
          <w:szCs w:val="24"/>
        </w:rPr>
        <w:t xml:space="preserve">d) Actuar bajo los principios y normas establecidos en el Código de Ética de Propi y cumplir las obligaciones del Reglamento Interno de Trabajo en materia de prevención del LD/FT/FPADM.</w:t>
      </w:r>
    </w:p>
    <w:p w14:paraId="560FAC0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472398" w14:textId="77777777" w:rsidR="001815AC" w:rsidRPr="0057078F" w:rsidRDefault="00000000" w:rsidP="0057078F">
      <w:pPr>
        <w:pStyle w:val="Heading2"/>
        <w:numPr>
          <w:ilvl w:val="0"/>
          <w:numId w:val="5"/>
        </w:numPr>
        <w:spacing w:line="276" w:lineRule="auto"/>
        <w:rPr>
          <w:rFonts w:cs="Calibri"/>
          <w:b/>
        </w:rPr>
      </w:pPr>
      <w:r>
        <w:rPr>
          <w:rFonts w:cs="Calibri"/>
          <w:b/>
        </w:rPr>
        <w:t xml:space="preserve"> </w:t>
      </w:r>
      <w:bookmarkStart w:id="348" w:name="_Toc176997895"/>
      <w:r>
        <w:rPr>
          <w:rFonts w:cs="Calibri"/>
          <w:b/>
        </w:rPr>
        <w:t>RESPONSABILIDADES ESPECÍFICAS</w:t>
      </w:r>
      <w:bookmarkEnd w:id="348"/>
      <w:r>
        <w:rPr>
          <w:rFonts w:cs="Calibri"/>
          <w:b/>
        </w:rPr>
        <w:t xml:space="preserve"> </w:t>
      </w:r>
    </w:p>
    <w:p w14:paraId="6E2D47A5" w14:textId="77777777" w:rsidR="001815AC" w:rsidRPr="0057078F" w:rsidRDefault="001815AC" w:rsidP="0057078F">
      <w:pPr>
        <w:spacing w:line="276" w:lineRule="auto"/>
        <w:rPr>
          <w:rFonts w:ascii="Calibri" w:eastAsia="Calibri" w:hAnsi="Calibri" w:cs="Calibri"/>
          <w:color w:val="1A1A1A"/>
          <w:sz w:val="24"/>
          <w:szCs w:val="24"/>
        </w:rPr>
      </w:pPr>
    </w:p>
    <w:p w14:paraId="5A228571" w14:textId="6E3BB8DB" w:rsidR="001815AC" w:rsidRPr="0057078F" w:rsidRDefault="00000000" w:rsidP="0057078F">
      <w:pPr>
        <w:pStyle w:val="Heading3"/>
        <w:spacing w:line="276" w:lineRule="auto"/>
        <w:rPr>
          <w:rFonts w:ascii="Calibri" w:eastAsia="Calibri" w:hAnsi="Calibri" w:cs="Calibri"/>
          <w:color w:val="1A1A1A"/>
          <w:sz w:val="24"/>
          <w:szCs w:val="24"/>
        </w:rPr>
      </w:pPr>
      <w:bookmarkStart w:id="349" w:name="_Toc176997896"/>
      <w:bookmarkEnd w:id="349"/>
      <w:r>
        <w:rPr>
          <w:rFonts w:ascii="Calibri" w:eastAsia="Calibri" w:hAnsi="Calibri" w:cs="Calibri"/>
          <w:color w:val="1A1A1A"/>
          <w:sz w:val="24"/>
          <w:szCs w:val="24"/>
        </w:rPr>
        <w:t xml:space="preserve">1. Órgano de dirección superior</w:t>
      </w:r>
    </w:p>
    <w:p w14:paraId="79662DAB" w14:textId="77777777" w:rsidR="001815AC" w:rsidRPr="0057078F" w:rsidRDefault="001815AC" w:rsidP="0057078F">
      <w:pPr>
        <w:spacing w:line="276" w:lineRule="auto"/>
        <w:rPr>
          <w:rFonts w:ascii="Calibri" w:eastAsia="Calibri" w:hAnsi="Calibri" w:cs="Calibri"/>
          <w:color w:val="1A1A1A"/>
          <w:sz w:val="24"/>
          <w:szCs w:val="24"/>
        </w:rPr>
      </w:pPr>
    </w:p>
    <w:p w14:paraId="5FF2EF5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Al órgano de dirección superior de Propi, o a quien haga sus veces, además de las responsabilidades generales antes citadas, le corresponde:</w:t>
      </w:r>
    </w:p>
    <w:p w14:paraId="67049295" w14:textId="6D376B3A"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Establecer la responsabilidad del Oficial de Cumplimiento y de su suplente, del personal de auditoría interna o de quien realice funciones similares relacionadas con la prevención del LD/FT/FPADM, del personal de las áreas generadoras de negocio y de atención de clientes, así como del resto de los empleados y colaboradores de Propi.</w:t>
      </w:r>
    </w:p>
    <w:p w14:paraId="35784741" w14:textId="7761AB1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Seleccionar y nombrar al Oficial de Cumplimiento titular y a su suplente (artículo 16 del Decreto 15-2026).</w:t>
      </w:r>
    </w:p>
    <w:p w14:paraId="62525C62" w14:textId="5819DD9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presente Manual y sus modificaciones y actualizaciones (artículo 12 del Decreto 15-2026), así como el proceso de administración del Riesgo LD/FT/FPADM y sus actualizaciones (artículo 8).</w:t>
      </w:r>
    </w:p>
    <w:p w14:paraId="0CAEF84B"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Código de Ética Institucional.</w:t>
      </w:r>
    </w:p>
    <w:p w14:paraId="2F77FCCF" w14:textId="3125CCF6"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Plan de Trabajo anual del Oficial de Cumplimiento.</w:t>
      </w:r>
    </w:p>
    <w:p w14:paraId="292A6772"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Plan de Capacitación anual en materia de prevención del LD/FT/FPADM.</w:t>
      </w:r>
    </w:p>
    <w:p w14:paraId="5ACF3683" w14:textId="70AFCA29"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Asignar los recursos necesarios para la operatividad de la normativa aplicable a la prevención del LD/FT/FPADM,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y especialmente al Oficial de Cumplimiento, acorde con las actividades, naturaleza, tamaño, operaciones y nivel de riesgo de la empresa.</w:t>
      </w:r>
    </w:p>
    <w:p w14:paraId="5A6B1EF9" w14:textId="45925784"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Conocer los informes y estadísticas de la gestión realizada por el Oficial de Cumplimiento y suplente.</w:t>
      </w:r>
    </w:p>
    <w:p w14:paraId="57DBD9C1" w14:textId="59F2E573"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385" w:name="_heading=h.1ksv4uv" w:colFirst="0" w:colLast="0"/>
      <w:bookmarkEnd w:id="385"/>
      <w:r>
        <w:rPr>
          <w:rFonts w:ascii="Calibri" w:eastAsia="Calibri" w:hAnsi="Calibri" w:cs="Calibri"/>
          <w:color w:val="1A1A1A"/>
          <w:sz w:val="24"/>
          <w:szCs w:val="24"/>
        </w:rPr>
        <w:t xml:space="preserve">Apoyar de forma irrestricta la labor del Oficial de Cumplimiento y su equipo de trabajo.</w:t>
      </w:r>
    </w:p>
    <w:p w14:paraId="466BF6AF" w14:textId="18ADF5EF" w:rsidR="003E3C2C" w:rsidRPr="0057078F" w:rsidRDefault="003E3C2C"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Velar por que, por medio del Oficial de Cumplimiento, se comuniquen a la IVE, en la forma y plazo que esta establezca, la designación, renuncia, remoción o sustitución del Oficial de Cumplimiento titular y suplente (artículo 16 del Decreto 15-2026).</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Autorizar por escrito, o delegar en el nivel gerencial o comité que designe, el establecimiento o continuidad de relaciones de negocios con clientes calificados como Personas Expuestas Políticamente o de riesgo alto, previo dictamen del Oficial de Cumplimiento.</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Garantizar al Oficial de Cumplimiento independencia, autonomía y suficientes recursos materiales, tecnológicos y personal idóneo para el cumplimiento de sus funciones (artículo 16).</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a propuesta del Oficial de Cumplimiento, las políticas que desarrollan este Manual y la matriz de riesgo consolidada con su metodología.</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Velar por que, por medio del Oficial de Cumplimiento, se mantenga actualizada la información general de Propi ante la Superintendencia de Bancos a través de la IVE y se comunique cualquier modificación en la forma y plazo que esta establezca (quince días conforme a la práctica vigente).</w:t>
      </w:r>
    </w:p>
    <w:p w14:paraId="5EE70840" w14:textId="77777777" w:rsidR="003E3C2C" w:rsidRPr="0057078F" w:rsidRDefault="003E3C2C">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CF2FFA4" w14:textId="3F98A41B" w:rsidR="001815AC" w:rsidRPr="0057078F" w:rsidRDefault="00000000" w:rsidP="0057078F">
      <w:pPr>
        <w:pStyle w:val="Heading3"/>
        <w:spacing w:line="276" w:lineRule="auto"/>
        <w:rPr>
          <w:rFonts w:ascii="Calibri" w:eastAsia="Calibri" w:hAnsi="Calibri" w:cs="Calibri"/>
          <w:b/>
          <w:color w:val="1A1A1A"/>
          <w:sz w:val="24"/>
          <w:szCs w:val="24"/>
        </w:rPr>
      </w:pPr>
      <w:bookmarkStart w:id="408" w:name="_Toc176997897"/>
      <w:r>
        <w:rPr>
          <w:rFonts w:ascii="Calibri" w:eastAsia="Calibri" w:hAnsi="Calibri" w:cs="Calibri"/>
          <w:color w:val="1A1A1A"/>
          <w:sz w:val="24"/>
          <w:szCs w:val="24"/>
        </w:rPr>
        <w:t xml:space="preserve">2. </w:t>
      </w:r>
      <w:r>
        <w:rPr>
          <w:rFonts w:ascii="Calibri" w:eastAsia="Calibri" w:hAnsi="Calibri" w:cs="Calibri"/>
          <w:b/>
          <w:color w:val="1A1A1A"/>
          <w:sz w:val="24"/>
          <w:szCs w:val="24"/>
        </w:rPr>
        <w:t xml:space="preserve">OFICIAL DE CUMPLIMIENTO Y OFICIAL DE CUMPLIMIENTO SUPLENTE</w:t>
      </w:r>
      <w:bookmarkEnd w:id="408"/>
    </w:p>
    <w:p w14:paraId="4186EBD8" w14:textId="77777777" w:rsidR="003E3C2C" w:rsidRPr="0057078F" w:rsidRDefault="003E3C2C"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r>
        <w:rPr>
          <w:rFonts w:ascii="Calibri" w:eastAsia="Calibri" w:hAnsi="Calibri" w:cs="Calibri"/>
          <w:b/>
          <w:color w:val="000000"/>
          <w:sz w:val="24"/>
          <w:szCs w:val="24"/>
        </w:rPr>
        <w:t xml:space="preserve">Propi</w:t>
      </w:r>
      <w:r>
        <w:rPr>
          <w:rFonts w:ascii="Calibri" w:eastAsia="Calibri" w:hAnsi="Calibri" w:cs="Calibri"/>
          <w:color w:val="000000"/>
          <w:sz w:val="24"/>
          <w:szCs w:val="24"/>
        </w:rPr>
        <w:t xml:space="preserve"> en cumplimiento a lo establecido en la normativa nacional vigente de prevención de LD/FT/FPADM, deberá nombrar a un Oficial de Cumplimiento Titular y un Oficial de Cumplimiento Suplente que serán los encargados de velar por el cumplimiento de las regulaciones en materia de prevención de LD/FT/FPADM. </w:t>
      </w:r>
    </w:p>
    <w:p w14:paraId="6770E8F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titular y su suplente serán nombrados por el órgano de dirección superior o quien haga sus veces (artículo 16 del Decreto 15-2026); el suplente fungirá en caso de ausencia temporal del titular. El Oficial de Cumplimiento podrá ejercer otras funciones dentro de la entidad y ostentará un cargo de alta gerencia o de similar naturaleza. Las calidades, atribuciones mínimas y condiciones de ejercicio del titular y del suplente, así como la forma y plazo para informar a la IVE su designación, renuncia, remoción o sustitución, se sujetan a la reglamentación de la Ley. Mientras esta no disponga otra cosa, el nombramiento, la sustitución o la remoción del titular y del suplente se comunicarán a la IVE dentro de los diez (10) días hábiles siguientes, acompañando el currículum vitae respectivo, conforme a la práctica vigente.</w:t>
      </w:r>
    </w:p>
    <w:p w14:paraId="2CC9CBCE" w14:textId="77777777" w:rsidR="001815AC" w:rsidRPr="0057078F" w:rsidRDefault="001815AC">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p>
    <w:p w14:paraId="549C5C53" w14:textId="23AE7CB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nombramiento del Oficial de Cumplimiento no exime a los demás empleados de la obligación de aplicar, en el desarrollo de sus funciones, los procedimientos de prevención y control de los riesgos de LD/FT/FPADM.</w:t>
      </w:r>
    </w:p>
    <w:p w14:paraId="0789DF44"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C407670" w14:textId="650B2E44" w:rsidR="0057078F" w:rsidRPr="0057078F" w:rsidDel="00BD46E3" w:rsidRDefault="0057078F">
      <w:pPr>
        <w:pStyle w:val="ListParagraph"/>
        <w:numPr>
          <w:ilvl w:val="0"/>
          <w:numId w:val="34"/>
        </w:numPr>
        <w:rPr>
          <w:rFonts w:ascii="Calibri" w:hAnsi="Calibri" w:cs="Calibri"/>
          <w:sz w:val="24"/>
          <w:szCs w:val="24"/>
        </w:rPr>
      </w:pPr>
    </w:p>
    <w:p w14:paraId="0D8EC8B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B7429D" w14:textId="45605965" w:rsidR="001815AC" w:rsidRPr="0057078F" w:rsidRDefault="00000000" w:rsidP="0057078F">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bookmarkStart w:id="502" w:name="_heading=h.z3bvj04y2tu8" w:colFirst="0" w:colLast="0"/>
      <w:bookmarkEnd w:id="502"/>
      <w:r>
        <w:rPr>
          <w:rFonts w:ascii="Calibri" w:eastAsia="Calibri" w:hAnsi="Calibri" w:cs="Calibri"/>
          <w:b/>
          <w:color w:val="1A1A1A"/>
          <w:sz w:val="24"/>
          <w:szCs w:val="24"/>
        </w:rPr>
        <w:t xml:space="preserve">Nombramiento del Oficial de Cumplimiento titular y suplente</w:t>
      </w:r>
    </w:p>
    <w:p w14:paraId="46835FF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058C41" w14:textId="1B5F737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requisitos mínimos para ser nombrado Oficial de Cumplimiento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son los siguientes:</w:t>
      </w:r>
    </w:p>
    <w:p w14:paraId="24E26751"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Capacitación en materia de prevención y gestión de riesgos asociados al LD/FT/FPADM;</w:t>
      </w:r>
    </w:p>
    <w:p w14:paraId="1CA24FC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Conocimientos sobre el marco regulatorio en materia de prevención y gestión de riesgos asociados al LD/FT/FPADM;</w:t>
      </w:r>
    </w:p>
    <w:p w14:paraId="19DAD4AB"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grado académico a nivel universitario;</w:t>
      </w:r>
    </w:p>
    <w:p w14:paraId="7B1D5C0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conocimiento sobre los aspectos financieros, operativos y jurídicos de la actividad económica que realiza la entidad.</w:t>
      </w:r>
    </w:p>
    <w:p w14:paraId="305FF2A0" w14:textId="6EA350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función del Oficial de Cumplimiento será ejercida por una persona que resida en el país y podrá ser compatible con el ejercicio de otras funciones administrativas, excepto con el cargo de contador o auditor interno, extensivo al personal que labora en dichas áreas. Por la naturaleza de las funciones que la delegación de cumplimiento implica, esta labor no es compatible con las subcontrataciones y Propi deberá considerar el tema de confidencialidad al momento de realizar el nombramiento de la persona designada a estas funciones, sin perjuicio de lo dispuesto en el artículo 16 del Decreto 15-2026.</w:t>
      </w:r>
    </w:p>
    <w:p w14:paraId="6BEBB0A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78EA784"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nombrará a un Oficial de Cumplimiento Suplente quien deberá cumplir con los mismos requisitos que son exigidos al Oficial de Cumplimiento.</w:t>
      </w:r>
    </w:p>
    <w:p w14:paraId="5B077F1D" w14:textId="386588C1" w:rsidR="00BD46E3" w:rsidRPr="00BD46E3" w:rsidRDefault="00BD46E3">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Responsabilidades del Oficial de Cumplimiento</w:t>
      </w:r>
    </w:p>
    <w:p w14:paraId="7650867C" w14:textId="77777777" w:rsidR="00BD46E3" w:rsidRPr="0057078F" w:rsidRDefault="00BD46E3" w:rsidP="00BD46E3">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A455AC" w14:textId="77777777" w:rsidR="00BD46E3" w:rsidRPr="002F48D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Principalmente, el Oficial de Cumplimiento será el responsable de vigilar el cumplimiento de los Programas de Prevención LD/FT/FPADM contenidos en este Manual y en sus documentos complementarios, así como de las obligaciones que establece el Decreto 15-2026, su reglamentación y demás disposiciones aplicables; y será el único enlace entre Propi y la Superintendencia de Bancos a través de la IVE (artículo 16).</w:t>
      </w:r>
    </w:p>
    <w:p w14:paraId="40779508"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Observar el debido cumplimiento de las obligaciones establecidas por la Intendencia de Verificación Especial.</w:t>
      </w:r>
    </w:p>
    <w:p w14:paraId="469D1CD0"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Consultar constantemente el Portal de Personas Obligadas para asegurarse que Propi se encuentre en cumplimiento con sus obligaciones. </w:t>
      </w:r>
    </w:p>
    <w:p w14:paraId="1467274A" w14:textId="77777777" w:rsidR="00BD46E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Determinar procedimientos para la detección de transacciones inusuales y reporte de transacciones sospechosas, y garantizar la reserva de la información reportada.</w:t>
      </w:r>
    </w:p>
    <w:p w14:paraId="545AFF8C"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Validar que los reportes de transacciones en efectivo y los demás reportes que requiera la IVE sean presentados a la Superintendencia de Bancos a través de los mecanismos establecidos por la Intendencia de Verificación Especial.</w:t>
      </w:r>
    </w:p>
    <w:p w14:paraId="420A8A81"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Coordinar los esfuerzos con las diferentes áreas dentro de Propi para la implementación de controles internos eficaces, asegurando que las políticas y procedimientos se cumplan en toda la entidad.</w:t>
      </w:r>
    </w:p>
    <w:p w14:paraId="29705F3D"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Analizar e implementar las medidas correctivas derivadas de las observaciones de la auditoría interna, o de quien realice funciones similares, y de la auditoría externa, relacionadas con la prevención del LD/FT/FPADM.</w:t>
      </w:r>
    </w:p>
    <w:p w14:paraId="570281F9"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Realizar el examen de las transacciones inusuales para determinar si procede o no elaborar un Reporte de Transacción Sospechosa (RTS).</w:t>
      </w:r>
    </w:p>
    <w:p w14:paraId="16410CFE"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Dar respuesta oportuna a los requerimientos de información de la Superintendencia de Bancos a través de la IVE, llevando archivo de estos con la debida confidencialidad.</w:t>
      </w:r>
    </w:p>
    <w:p w14:paraId="589C3674" w14:textId="77777777" w:rsidR="00BD46E3" w:rsidRPr="002F48D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Preparar y coordinar la ejecución del plan anual de capacitación sobre la prevención del LD/FT/FPADM.</w:t>
      </w:r>
    </w:p>
    <w:p w14:paraId="56E623F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DC05169"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70" w:name="_heading=h.o88by84y2zu6" w:colFirst="0" w:colLast="0"/>
      <w:bookmarkEnd w:id="570"/>
      <w:r>
        <w:rPr>
          <w:rFonts w:ascii="Calibri" w:eastAsia="Calibri" w:hAnsi="Calibri" w:cs="Calibri"/>
          <w:b/>
          <w:color w:val="1A1A1A"/>
          <w:sz w:val="24"/>
          <w:szCs w:val="24"/>
        </w:rPr>
        <w:lastRenderedPageBreak/>
        <w:t xml:space="preserve"> Funciones del Oficial de Cumplimiento</w:t>
      </w:r>
    </w:p>
    <w:p w14:paraId="7688D533" w14:textId="77777777" w:rsidR="0057078F" w:rsidRPr="0057078F" w:rsidRDefault="0057078F">
      <w:pPr>
        <w:pBdr>
          <w:top w:val="nil"/>
          <w:left w:val="nil"/>
          <w:bottom w:val="nil"/>
          <w:right w:val="nil"/>
          <w:between w:val="nil"/>
        </w:pBdr>
        <w:spacing w:after="0" w:line="276" w:lineRule="auto"/>
        <w:jc w:val="both"/>
        <w:rPr>
          <w:rFonts w:ascii="Calibri" w:eastAsia="Calibri" w:hAnsi="Calibri" w:cs="Calibri"/>
          <w:b/>
          <w:color w:val="1A1A1A"/>
        </w:rPr>
      </w:pPr>
    </w:p>
    <w:p w14:paraId="38902221"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79" w:name="_heading=h.v9dkoqusabra" w:colFirst="0" w:colLast="0"/>
      <w:bookmarkEnd w:id="579"/>
      <w:bookmarkStart w:id="586" w:name="_heading=h.ly2zo6r1ih4" w:colFirst="0" w:colLast="0"/>
      <w:bookmarkEnd w:id="586"/>
      <w:r>
        <w:rPr>
          <w:rFonts w:ascii="Calibri" w:eastAsia="Calibri" w:hAnsi="Calibri" w:cs="Calibri"/>
          <w:color w:val="1A1A1A"/>
          <w:sz w:val="24"/>
          <w:szCs w:val="24"/>
        </w:rPr>
        <w:t xml:space="preserve">El Oficial de Cumplimiento goza de autoridad, independencia de criterio y acceso a toda la información de directores, alta administración, proveedores, empleados, así como, de las transacciones u operaciones que realice Propi con los Clientes o contrapartes en virtud del desarrollo normal de sus operaciones. Además de las atribuciones que establezca la reglamentación del Decreto 15-2026, el Oficial de Cumplimiento deberá desarrollar las siguientes:</w:t>
      </w:r>
    </w:p>
    <w:p w14:paraId="4F9FF8ED"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5778BC" w14:textId="1EBF12B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Proponer programas, normas, procedimientos y controles internos que se deberán adoptar, desarrollar y ejecutar para evitar el uso indebido de sus servicios y en actividades de lavado de dinero, otros activos o financiamiento del terrorismo (LD/FT/FPADM).</w:t>
      </w:r>
    </w:p>
    <w:p w14:paraId="66BFC253" w14:textId="5D24A8BB"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Hacer del conocimiento del personal de Propi todas las disposiciones legales y reglamentarias, así como los procedimientos internos existentes en materia de prevención y detección de LD/FT/FPADM.</w:t>
      </w:r>
    </w:p>
    <w:p w14:paraId="658ED7EC" w14:textId="175C73AA"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Coordinar con otras instancias la implementación de los programas, normas, procedimientos y controles internos que la Ley establece, y velar porque los mismos se cumplan.</w:t>
      </w:r>
    </w:p>
    <w:p w14:paraId="33FE568C" w14:textId="7ED9AE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Preparar y documentar la información que deba remitirse a la Superintendencia de Bancos, a través de la Intendencia de Verificación Especial, conforme a los datos y documentación a que se refiere la Ley.</w:t>
      </w:r>
    </w:p>
    <w:p w14:paraId="3F4AFC38"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Mantener una constante actualización técnica y legal sobre el tema de prevención y detección de LD/FT/FPADM, así como establecer canales de comunicación y cooperación con los Oficiales de Cumplimiento de otras entidades, garantizando la confidencialidad de la información conforme a la Ley.</w:t>
      </w:r>
    </w:p>
    <w:p w14:paraId="3ABAD57F"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Organizar la capacitación del personal en los aspectos relacionados con la prevención y detección del lavado de dinero u otros activos, y remitir a la Superintendencia de Bancos, a través de la IVE, el informe sobre dicha capacitación con la periodicidad y en la forma que esta establezca (semestral conforme a la práctica vigente).</w:t>
      </w:r>
    </w:p>
    <w:p w14:paraId="2C9D4B38" w14:textId="4E2AF10D"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Documentar los esfuerzos realizados por Propi en materia de prevención del LD/FT/FPADM.</w:t>
      </w:r>
    </w:p>
    <w:p w14:paraId="295B7445" w14:textId="2D4292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Realizar informes trimestrales al órgano de dirección superior sobre la eficacia de los mecanismos de control interno ejecutados, relacionados con el programa de cumplimiento.</w:t>
      </w:r>
    </w:p>
    <w:p w14:paraId="3488352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lastRenderedPageBreak/>
        <w:t xml:space="preserve">Realizar seguimiento rutinario del debido cumplimiento de las políticas y procedimientos para la prevención del LD/FT/FPADM, con un enfoque basado en riesgo.</w:t>
      </w:r>
    </w:p>
    <w:p w14:paraId="78071D6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Promover la adopción de modificaciones a las políticas y procedimientos para la prevención del LD/FT/FPADM, para la detección de transacciones inusuales y el reporte de transacciones sospechosas, e informar los resultados de las acciones correctivas ordenadas por el órgano de dirección superior.</w:t>
      </w:r>
    </w:p>
    <w:p w14:paraId="43FF4E29"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Diseñar el presente Manual y proponer su actualización.</w:t>
      </w:r>
    </w:p>
    <w:p w14:paraId="346643A7" w14:textId="04DD9AC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Elaborar metodologías e indicadores cualitativos y cuantitativos para la detección oportuna de transacciones inusuales.</w:t>
      </w:r>
    </w:p>
    <w:p w14:paraId="3449916A"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Hacer evaluaciones sobre el debido y oportuno cumplimiento de la normativa en relación con la prevención del LD/FT/FPADM.</w:t>
      </w:r>
    </w:p>
    <w:p w14:paraId="5A85225C"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Establecer y coordinar mecanismos de monitoreo de las transacciones realizadas por los clientes o contrapartes durante el curso de la relación comercial, para asegurar que las transacciones ejecutadas sean consistentes con su perfil.</w:t>
      </w:r>
    </w:p>
    <w:p w14:paraId="23B73815" w14:textId="73E61346"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Instruir a la auditoría interna y externa, o quien realice funciones similares, para verificar de manera muestral el acuse de recibo o la evidencia del envío de reportes de transacciones sospechosas y en efectivo.</w:t>
      </w:r>
    </w:p>
    <w:p w14:paraId="024A8B56" w14:textId="0211F2B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03" w:name="_heading=h.d6v4s4g86tgc" w:colFirst="0" w:colLast="0"/>
      <w:bookmarkStart w:id="704" w:name="_heading=h.wkfnl246cn07" w:colFirst="0" w:colLast="0"/>
      <w:bookmarkStart w:id="705" w:name="_heading=h.e5e4kma3c244" w:colFirst="0" w:colLast="0"/>
      <w:bookmarkStart w:id="706" w:name="_heading=h.ckmlr0bp81ag" w:colFirst="0" w:colLast="0"/>
      <w:bookmarkStart w:id="707" w:name="_heading=h.eo3nm7ew8xvy" w:colFirst="0" w:colLast="0"/>
      <w:bookmarkStart w:id="708" w:name="_heading=h.mje0h1jbh27a" w:colFirst="0" w:colLast="0"/>
      <w:bookmarkStart w:id="709" w:name="_heading=h.p4mjmt9jjtef" w:colFirst="0" w:colLast="0"/>
      <w:bookmarkStart w:id="710" w:name="_heading=h.vmyefzwcvdss" w:colFirst="0" w:colLast="0"/>
      <w:bookmarkStart w:id="711" w:name="_heading=h.kmw85dfvtvrn" w:colFirst="0" w:colLast="0"/>
      <w:bookmarkStart w:id="712" w:name="_heading=h.v6kk6sytgbbf" w:colFirst="0" w:colLast="0"/>
      <w:bookmarkStart w:id="713" w:name="_heading=h.4cux8kxmda9s" w:colFirst="0" w:colLast="0"/>
      <w:bookmarkStart w:id="714" w:name="_heading=h.tu5cuv26hu36" w:colFirst="0" w:colLast="0"/>
      <w:bookmarkStart w:id="715" w:name="_heading=h.juu5getl80pl" w:colFirst="0" w:colLast="0"/>
      <w:bookmarkEnd w:id="703"/>
      <w:bookmarkEnd w:id="704"/>
      <w:bookmarkEnd w:id="705"/>
      <w:bookmarkEnd w:id="706"/>
      <w:bookmarkEnd w:id="707"/>
      <w:bookmarkEnd w:id="708"/>
      <w:bookmarkEnd w:id="709"/>
      <w:bookmarkEnd w:id="710"/>
      <w:bookmarkEnd w:id="711"/>
      <w:bookmarkEnd w:id="712"/>
      <w:bookmarkEnd w:id="713"/>
      <w:bookmarkEnd w:id="714"/>
      <w:bookmarkEnd w:id="715"/>
      <w:r>
        <w:rPr>
          <w:rFonts w:ascii="Calibri" w:eastAsia="Calibri" w:hAnsi="Calibri" w:cs="Calibri"/>
          <w:color w:val="1A1A1A"/>
          <w:sz w:val="24"/>
          <w:szCs w:val="24"/>
        </w:rPr>
        <w:t xml:space="preserve">Otras funciones que el órgano de dirección superior defina.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identidad y la información personal del Oficial de Cumplimiento y de quienes laboren bajo su dirección tienen carácter confidencial y no podrán hacerse del conocimiento público, salvo ante la Superintendencia de Bancos a través de la IVE o por orden de juez competente (artículo 19 del Decreto 15-2026).</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y las personas que laboren bajo su dirección tienen impedimento para declarar, intervenir o desempeñarse como testigos, peritos, expertos o consultores técnicos en procesos penales o de extinción de dominio relacionados con la información, documentación, expedientes y registros a los que hayan tenido acceso en el ejercicio de sus funciones y con los RTS comunicados a la IVE; el impedimento subsiste después de cesar en el cargo (artículo 20).</w:t>
      </w:r>
    </w:p>
    <w:p w14:paraId="00D014BF" w14:textId="77777777" w:rsidR="001815AC" w:rsidRPr="0057078F" w:rsidRDefault="00000000" w:rsidP="0057078F">
      <w:pPr>
        <w:pStyle w:val="Heading1"/>
        <w:spacing w:line="276" w:lineRule="auto"/>
        <w:rPr>
          <w:rFonts w:cs="Calibri"/>
        </w:rPr>
      </w:pPr>
      <w:bookmarkStart w:id="718" w:name="_Toc176997898"/>
      <w:r>
        <w:rPr>
          <w:rFonts w:cs="Calibri"/>
        </w:rPr>
        <w:t>POLÍTICAS DE CONOCIMIENTO DE CLIENTES</w:t>
      </w:r>
      <w:bookmarkEnd w:id="718"/>
    </w:p>
    <w:p w14:paraId="49B8A73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F328C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el conocimiento de cliente es de suma importancia en la prevención del LD/FT/FPADM; lo cual consiste en establecer los mecanismos para lograr un conocimiento suficiente y adecuado de la identidad del cliente y beneficiarios finales, incluyendo la actividad económica a la que se dedica, la magnitud, frecuencia y características básicas de las transacciones en que se involucran cotidianamente, así como, la documentación que sea necesaria para respaldar las transacciones efectuadas por los clientes de acuerdo a su perfil de riesgo y según sea aplicable.</w:t>
      </w:r>
    </w:p>
    <w:p w14:paraId="4A6F94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59C61BF" w14:textId="2A0F5519" w:rsidR="001815AC" w:rsidRPr="0057078F" w:rsidRDefault="00000000" w:rsidP="0057078F">
      <w:pPr>
        <w:pStyle w:val="Heading2"/>
        <w:numPr>
          <w:ilvl w:val="1"/>
          <w:numId w:val="28"/>
        </w:numPr>
        <w:spacing w:line="276" w:lineRule="auto"/>
        <w:rPr>
          <w:rFonts w:cs="Calibri"/>
        </w:rPr>
      </w:pPr>
      <w:bookmarkStart w:id="719" w:name="_Toc176997899"/>
      <w:r>
        <w:rPr>
          <w:rFonts w:cs="Calibri"/>
        </w:rPr>
        <w:t xml:space="preserve">DEBIDA DILIGENCIA PARA LA IDENTIFICACIÓN Y VINCULACIÓN DE POSIBLES CLIENTES</w:t>
      </w:r>
      <w:bookmarkEnd w:id="719"/>
    </w:p>
    <w:p w14:paraId="4B5EB6AD" w14:textId="77777777" w:rsidR="001815AC" w:rsidRPr="0057078F" w:rsidRDefault="001815AC" w:rsidP="0057078F">
      <w:pPr>
        <w:spacing w:line="276" w:lineRule="auto"/>
        <w:jc w:val="both"/>
        <w:rPr>
          <w:rFonts w:ascii="Calibri" w:eastAsia="Calibri" w:hAnsi="Calibri" w:cs="Calibri"/>
          <w:color w:val="1A1A1A"/>
          <w:sz w:val="24"/>
          <w:szCs w:val="24"/>
        </w:rPr>
      </w:pPr>
    </w:p>
    <w:p w14:paraId="0B92DFF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w:t>
      </w:r>
      <w:r>
        <w:rPr>
          <w:rFonts w:ascii="Calibri" w:eastAsia="Calibri" w:hAnsi="Calibri" w:cs="Calibri"/>
          <w:color w:val="1A1A1A"/>
          <w:sz w:val="24"/>
          <w:szCs w:val="24"/>
        </w:rPr>
        <w:t xml:space="preserve"> establece que el cumplimiento de las medidas aprobadas para el conocimiento del cliente o contraparte es responsabilidad de todo el personal ejecutivo y operativo, en especial los que tienen contacto con clientes para la formalización de negocios. En el establecimiento de la relación comercial se debe de identificar al cliente o contraparte de forma fehaciente, por medio de la Política de Conocimiento del Cliente, los procedimientos y controles adoptados por Propi para mitigar el riesgo de LD/FT/FPADM.</w:t>
      </w:r>
    </w:p>
    <w:p w14:paraId="1CA6EDC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conformidad con el enfoque basado en riesgo (artículos 8 al 11 y 22 del Decreto 15-2026), el nivel de debida diligencia aplicable a cada cliente se asigna combinando el valor de la operación con el perfil de riesgo del cliente; el perfil de riesgo solo puede elevar el nivel, nunca reducirlo. Los parámetros de valor y de perfil, así como la documentación mínima por tipo de cliente, se establecen en la Política de Conocimiento del Cliente vigente.</w:t>
      </w:r>
    </w:p>
    <w:p w14:paraId="4AFBFBF3" w14:textId="5290C79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Antes de establecer la relación de negocios, todo posible cliente deberá proporcionar la información de identificación requerida (identidad, razón social o denominación, edad, ocupación u objeto social, estado civil, domicilio, nacionalidad, personería, capacidad legal y representación; y, tratándose de personas extranjeras, la comprobación de su ingreso y permanencia legal en el país, su condición migratoria y, cuando no sean residentes, la identificación de quien las representará legalmente) y completar el Formulario Conoce a tu Cliente y el formulario de creación de expediente que establezca la IVE, cualquiera que sea el nivel de debida diligencia aplicable, por medio de la herramienta tecnológica que designe el Oficial de Cumplimiento. Toda la información y su documentación de respaldo será revisada y aprobada por el Oficial de Cumplimiento.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Momentos y medidas de la debida diligencia (artículo 21). Las medidas de debida diligencia se aplicarán a todos los clientes cuando: a) se inicie la relación de negocios; b) se realicen transacciones por encima de los umbrales que establezca la reglamentación; c) existan transacciones inusuales; d) surjan dudas sobre la veracidad o suficiencia de los datos obtenidos previamente; e) se contraten productos o servicios adicionales que alteren la calificación de riesgo; y f) en los demás casos previstos en la Ley y su reglamentación.</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Las medidas de debida diligencia consisten en: 1) identificar y verificar la información del cliente y de quienes actúan en su nombre y en qué calidad, utilizando documentos, datos e información confiable de fuentes independientes; 2) identificar al beneficiario final y tomar medidas razonables para verificar su identidad, conforme a la Política de Identificación y Verificación del Beneficiario Final vigente; 3) obtener la información necesaria para comprender el propósito de la relación de negocios; 4) establecer el perfil del cliente y asignarle un nivel de riesgo; y 5) efectuar seguimiento continuo durante la relación de negocios, examinando que las transacciones sean consistentes con el perfil, el nivel de riesgo asignado, el origen de los fondos y los parámetros de normalidad del sector.</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Inicio de la relación de negocios y momento de la verificación (artículo 22). Para el cliente comprador de un inmueble, la relación de negocios se inicia al momento de la reserva, con independencia de que el pago se realice después; para las desarrolladoras, corredores externos, proveedores y demás contrapartes, con la firma del contrato de Alianza Comercial o del contrato que corresponda. La identificación del cliente y de su beneficiario final y el cruce en listas deben completarse antes de que Propi habilite la reserva o entregue al cliente el número de cuenta para el pago. La verificación de la información se efectúa al inicio de la relación de negocios o al realizar transacciones para clientes ocasionales.</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Diferimiento de la verificación. Propi no difiere la verificación de la información del cliente, de quien actúe en su nombre ni del beneficiario final: la identificación, la verificación y el cruce en listas se completan antes de habilitar la reserva o de entregar el número de cuenta para el pago, y ninguna relación de negocios se establece sin el dictamen del Oficial de Cumplimiento. En consecuencia, Propi no adopta los supuestos de verificación posterior que permite el artículo 22 del Decreto 15-2026; cualquier cambio a esta política requerirá incorporar previamente en este Manual los supuestos tasados en que procedería el diferimiento, conforme a dicho artículo.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Abstención y terminación. Propi se abstendrá de establecer relaciones de negocios o de ejecutar operaciones cuando le sea imposible aplicar las medidas de debida diligencia. Cuando la imposibilidad surja durante la relación de negocios, Propi le pondrá fin y el Oficial de Cumplimiento practicará y documentará un examen para determinar si procede un Reporte de Transacción Sospechosa (artículo 22). Los contratos con clientes y contrapartes incorporarán una manifestación de que Propi es Persona Obligada ante la Superintendencia de Bancos a través de la IVE conforme al Decreto 15-2026, y una cláusula de terminación por incumplimiento de los requerimientos de cumplimiento normativo.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Niveles de debida diligencia. La debida diligencia simplificada solo podrá aplicarse cuando se haya identificado y verificado previamente que el tipo de cliente, producto, servicio o transacción representa un riesgo menor conforme a la evaluación de riesgo documentada; no se aplicará ante una transacción inusual y dejará de aplicarse cuando se identifique un nivel de riesgo alto (artículo 23). La debida diligencia intensificada se aplicará cuando se identifiquen riesgos altos, cuando se establezcan relaciones o transacciones con personas de países o jurisdicciones de alto riesgo según el GAFI y en las situaciones que comunique la IVE (artículo 24); su desarrollo consta en la Política de Debida Diligencia Reforzada vigente.</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Situaciones especiales (artículo 25). Propi adoptará medidas de debida diligencia adicionales, conforme a la Política de Debida Diligencia Reforzada, cuando el cliente o su beneficiario final sea una Persona Expuesta Políticamente, su pariente en primer grado de consanguinidad, su cónyuge o conviviente o su asociado cercano; cuando sea contratista o proveedor del Estado; cuando se trate de organizaciones sin fines de lucro que reciban o administren fondos del Estado o del extranjero, o de personas jurídicas privadas sin fines de lucro; cuando ninguna de las partes esté domiciliada en el país; cuando se trate de fideicomisos u otras estructuras jurídicas; cuando la relación o transacción no implique la presencia física de las partes, atendiendo a los riesgos de las nuevas tecnologías; cuando las transacciones en efectivo o las transferencias de fondos superen los montos que fije la reglamentación; y en los demás casos que establezca la reglamentación de la Ley o disponga la Superintendencia de Bancos a través de la IVE (artículo 25, literal n, y último párrafo).</w:t>
      </w:r>
    </w:p>
    <w:p w14:paraId="3FFD764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32" w:name="_heading=h.3j2qqm3" w:colFirst="0" w:colLast="0"/>
      <w:bookmarkEnd w:id="732"/>
    </w:p>
    <w:p w14:paraId="79AED223"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33" w:name="_Toc176997900"/>
      <w:bookmarkEnd w:id="733"/>
      <w:r>
        <w:rPr>
          <w:rFonts w:ascii="Calibri" w:eastAsia="Calibri" w:hAnsi="Calibri" w:cs="Calibri"/>
          <w:color w:val="1A1A1A"/>
          <w:sz w:val="24"/>
          <w:szCs w:val="24"/>
        </w:rPr>
        <w:t xml:space="preserve">Debida Diligencia simplificada</w:t>
      </w:r>
    </w:p>
    <w:p w14:paraId="42C074D6" w14:textId="65E63DD5" w:rsidR="001815AC" w:rsidRPr="0057078F" w:rsidRDefault="00000000"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bookmarkStart w:id="734" w:name="_heading=h.xs368gtufz03" w:colFirst="0" w:colLast="0"/>
      <w:bookmarkEnd w:id="734"/>
      <w:r>
        <w:rPr>
          <w:rFonts w:ascii="Calibri" w:eastAsia="Calibri" w:hAnsi="Calibri" w:cs="Calibri"/>
          <w:color w:val="1A1A1A"/>
          <w:sz w:val="24"/>
          <w:szCs w:val="24"/>
        </w:rPr>
        <w:t xml:space="preserve">La debida diligencia simplificada se aplicará a los clientes clasificados en riesgo bajo conforme a la Política de Conocimiento del Cliente, en los términos del artículo 23 del Decreto 15-2026. La debida diligencia simplificada no exime de la identificación y verificación del cliente y de su beneficiario final ni del cruce en listas; reduce la intensidad de la documentación de respaldo y del seguimiento, en los términos de dicha política.</w:t>
      </w:r>
    </w:p>
    <w:p w14:paraId="6C4F13C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0B6918F" w14:textId="77777777" w:rsidR="001815AC" w:rsidRPr="0057078F" w:rsidRDefault="00000000" w:rsidP="0057078F">
      <w:pPr>
        <w:pStyle w:val="Heading3"/>
        <w:numPr>
          <w:ilvl w:val="2"/>
          <w:numId w:val="30"/>
        </w:numPr>
        <w:spacing w:line="276" w:lineRule="auto"/>
        <w:jc w:val="both"/>
        <w:rPr>
          <w:rFonts w:ascii="Calibri" w:eastAsia="Calibri" w:hAnsi="Calibri" w:cs="Calibri"/>
          <w:color w:val="1A1A1A"/>
          <w:sz w:val="24"/>
          <w:szCs w:val="24"/>
        </w:rPr>
      </w:pPr>
      <w:bookmarkStart w:id="738" w:name="_Toc176997901"/>
      <w:r>
        <w:rPr>
          <w:rFonts w:ascii="Calibri" w:eastAsia="Calibri" w:hAnsi="Calibri" w:cs="Calibri"/>
          <w:color w:val="1A1A1A"/>
          <w:sz w:val="24"/>
          <w:szCs w:val="24"/>
        </w:rPr>
        <w:t>Debida Diligencia estándar</w:t>
      </w:r>
      <w:bookmarkEnd w:id="738"/>
    </w:p>
    <w:p w14:paraId="66FAF3BD" w14:textId="7F74AD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debida diligencia estándar se aplicará a los clientes clasificados en riesgo medio conforme a la Política de Conocimiento del Cliente, evaluando además las características del cliente, su país de procedencia, su actividad económica y el país de origen de sus fondos.</w:t>
      </w:r>
    </w:p>
    <w:p w14:paraId="44657CD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4170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A370B4" w14:textId="77777777" w:rsidR="001815AC" w:rsidRPr="0057078F" w:rsidRDefault="00000000" w:rsidP="0057078F">
      <w:pPr>
        <w:spacing w:line="276" w:lineRule="auto"/>
        <w:rPr>
          <w:rFonts w:ascii="Calibri" w:hAnsi="Calibri" w:cs="Calibri"/>
          <w:sz w:val="24"/>
          <w:szCs w:val="24"/>
        </w:rPr>
      </w:pPr>
      <w:r>
        <w:rPr>
          <w:rFonts w:ascii="Calibri" w:hAnsi="Calibri" w:cs="Calibri"/>
          <w:sz w:val="24"/>
          <w:szCs w:val="24"/>
        </w:rPr>
        <w:t xml:space="preserve">La documentación mínima por tipo de cliente (persona individual o jurídica, nacional o extranjera) se establece en la Política de Conocimiento del Cliente vigente y comprende, como mínimo, el documento de identificación, el comprobante de domicilio, el número de identificación tributaria, las credenciales de representantes o apoderados, los documentos constitutivos y la nómina de accionistas y la identificación de los beneficiarios finales conforme a la Política de Identificación y Verificación del Beneficiario Final.</w:t>
      </w:r>
    </w:p>
    <w:p w14:paraId="3D27A672" w14:textId="77777777" w:rsidR="001815AC" w:rsidRPr="0057078F" w:rsidRDefault="00000000" w:rsidP="0057078F">
      <w:pPr>
        <w:pBdr>
          <w:top w:val="nil"/>
          <w:left w:val="nil"/>
          <w:bottom w:val="nil"/>
          <w:right w:val="nil"/>
          <w:between w:val="nil"/>
        </w:pBdr>
        <w:spacing w:line="276" w:lineRule="auto"/>
        <w:rPr>
          <w:rFonts w:ascii="Calibri" w:eastAsia="Arial" w:hAnsi="Calibri" w:cs="Calibri"/>
          <w:smallCaps/>
          <w:color w:val="1A1A1A"/>
          <w:sz w:val="24"/>
          <w:szCs w:val="24"/>
        </w:rPr>
      </w:pPr>
      <w:bookmarkStart w:id="745" w:name="_heading=h.2xcytpi" w:colFirst="0" w:colLast="0"/>
      <w:bookmarkEnd w:id="745"/>
    </w:p>
    <w:p w14:paraId="1B8B7FA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1AC312F" w14:textId="45CCD94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b/>
          <w:color w:val="000000"/>
          <w:sz w:val="24"/>
          <w:szCs w:val="24"/>
        </w:rPr>
      </w:pPr>
      <w:r>
        <w:rPr>
          <w:rFonts w:ascii="Calibri" w:eastAsia="Calibri" w:hAnsi="Calibri" w:cs="Calibri"/>
          <w:color w:val="000000"/>
          <w:sz w:val="24"/>
          <w:szCs w:val="24"/>
        </w:rPr>
        <w:t xml:space="preserve">En el proceso de vinculación y previo a establecer la relación de negocios, Propi verificará que el cliente, sus accionistas o socios con participación igual o mayor al quince por ciento (15 %), su representante legal, apoderados, miembros del órgano de administración y beneficiarios finales no figuren en las listas de sanciones y de cautela nacionales e internacionales que determine el Oficial de Cumplimiento (entre ellas las del Consejo de Seguridad de las Naciones Unidas, OFAC e Interpol) ni en las listas de países o jurisdicciones de alto riesgo del GAFI. La verificación se realizará por medio de la herramienta tecnológica que designe el Oficial de Cumplimiento, quien aprobará la vinculación una vez validada la información y documentación; la constancia del cruce se conservará en el expediente.</w:t>
      </w:r>
    </w:p>
    <w:p w14:paraId="55E7AE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42E34D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64" w:name="_Toc176997902"/>
      <w:r>
        <w:rPr>
          <w:rFonts w:ascii="Calibri" w:eastAsia="Calibri" w:hAnsi="Calibri" w:cs="Calibri"/>
          <w:color w:val="1A1A1A"/>
          <w:sz w:val="24"/>
          <w:szCs w:val="24"/>
        </w:rPr>
        <w:t>Debida Diligencia intensificada</w:t>
      </w:r>
      <w:bookmarkEnd w:id="764"/>
    </w:p>
    <w:p w14:paraId="6BAE73F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EA3FD1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clientes considerados de alto riesgo incrementan el grado de exposición de Propi al Riesgo LD/FT/FPADM; por ello, las medidas de debida diligencia deben intensificarse a fin de comprender claramente sus transacciones y mantener un monitoreo continuo que permita detectar actividades inusuales y mitigar los riesgos que puedan afectar a Propi.</w:t>
      </w:r>
    </w:p>
    <w:p w14:paraId="14300D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2950E6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la debida diligencia intensificada será necesario requerir a los clientes de alto riesgo medidas adicionales a las de la debida diligencia estándar, verificando cuidadosamente la documentación presentada. Propi debe cumplir con las obligaciones de debida diligencia intensificada en los casos de aumento del Riesgo LD/FT/FPADM.</w:t>
      </w:r>
    </w:p>
    <w:p w14:paraId="7B5581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A65F6AE" w14:textId="48E4FF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65" w:name="_heading=h.2bn6wsx" w:colFirst="0" w:colLast="0"/>
      <w:bookmarkEnd w:id="765"/>
      <w:r>
        <w:rPr>
          <w:rFonts w:ascii="Calibri" w:eastAsia="Calibri" w:hAnsi="Calibri" w:cs="Calibri"/>
          <w:color w:val="1A1A1A"/>
          <w:sz w:val="24"/>
          <w:szCs w:val="24"/>
        </w:rPr>
        <w:t xml:space="preserve">Se consideran de riesgo alto los clientes que así resulten clasificados conforme a la matriz de riesgo y a la Política de Conocimiento del Cliente y, en todo caso, las Personas Expuestas Políticamente y sus personas vinculadas. Los clientes comprendidos en las demás situaciones especiales del artículo 25 del Decreto 15-2026 quedan sujetos a las medidas de debida diligencia adicionales de la Política de Debida Diligencia Reforzada, con la clasificación de riesgo que resulte de la matriz.</w:t>
      </w:r>
    </w:p>
    <w:p w14:paraId="54B530A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1930E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highlight w:val="cyan"/>
        </w:rPr>
      </w:pPr>
      <w:r>
        <w:rPr>
          <w:rFonts w:ascii="Calibri" w:eastAsia="Calibri" w:hAnsi="Calibri" w:cs="Calibri"/>
          <w:color w:val="1A1A1A"/>
          <w:sz w:val="24"/>
          <w:szCs w:val="24"/>
        </w:rPr>
        <w:t xml:space="preserve">La información y documentación adicional exigible en la debida diligencia intensificada se establece en la Política de Debida Diligencia Reforzada vigente y podrá comprender, entre otros:</w:t>
      </w:r>
    </w:p>
    <w:p w14:paraId="4F767991"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Estados financieros al cierre del último ejercicio contable.</w:t>
      </w:r>
    </w:p>
    <w:p w14:paraId="0F22937C"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Dictamen del auditor externo del último ejercicio contable.</w:t>
      </w:r>
    </w:p>
    <w:p w14:paraId="3C80AD6D"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 xml:space="preserve">Declaraciones de Impuesto Sobre la Renta de los últimos dos ejercicios fiscales.</w:t>
      </w:r>
    </w:p>
    <w:p w14:paraId="2F89FCF9"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Declaraciones de IVA de los últimos 6 períodos tributarios.</w:t>
      </w:r>
    </w:p>
    <w:p w14:paraId="5BBAB62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EA938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Así mismo, se podrán aplicar las siguientes medidas: </w:t>
      </w:r>
    </w:p>
    <w:p w14:paraId="49498AAE" w14:textId="442201B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Obtener la aprobación por escrito del órgano de dirección superior, o del nivel gerencial o comité en que este delegue, para establecer o continuar relaciones de negocios de riesgo alto, previo dictamen del Oficial de Cumplimiento.</w:t>
      </w:r>
    </w:p>
    <w:p w14:paraId="255A0802" w14:textId="7777777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otra medida intensificada que sea eficaz y proporcional a los riesgos identificados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w:t>
      </w:r>
    </w:p>
    <w:p w14:paraId="09F203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7F155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La verificación en listas descrita en esta sección se aplicará con mayor rigurosidad a los clientes de riesgo alto, y toda coincidencia generará una alerta que deberá ser analizada por el Oficial de Cumplimiento antes de autorizar o continuar la relación de negocios.</w:t>
      </w:r>
    </w:p>
    <w:p w14:paraId="28D12D25"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A633BC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74" w:name="_Toc176997903"/>
      <w:r>
        <w:rPr>
          <w:rFonts w:ascii="Calibri" w:eastAsia="Calibri" w:hAnsi="Calibri" w:cs="Calibri"/>
          <w:color w:val="1A1A1A"/>
          <w:sz w:val="24"/>
          <w:szCs w:val="24"/>
        </w:rPr>
        <w:t xml:space="preserve">Debida Diligencia para clientes PEP</w:t>
      </w:r>
      <w:bookmarkEnd w:id="774"/>
    </w:p>
    <w:p w14:paraId="0BF9BEA1" w14:textId="286F948E" w:rsidR="001815AC" w:rsidRPr="0057078F" w:rsidRDefault="001815AC" w:rsidP="0057078F">
      <w:pPr>
        <w:spacing w:before="2" w:line="276" w:lineRule="auto"/>
        <w:ind w:right="-2"/>
        <w:jc w:val="both"/>
        <w:rPr>
          <w:rFonts w:ascii="Calibri" w:eastAsia="Calibri" w:hAnsi="Calibri" w:cs="Calibri"/>
          <w:color w:val="1A1A1A"/>
          <w:sz w:val="24"/>
          <w:szCs w:val="24"/>
        </w:rPr>
      </w:pPr>
    </w:p>
    <w:p w14:paraId="1DFEF4E1" w14:textId="29DF0869" w:rsidR="00B51ECD" w:rsidRDefault="00000000" w:rsidP="00B51ECD">
      <w:pPr>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eastAsia="Calibri" w:hAnsi="Calibri" w:cs="Calibri"/>
          <w:b/>
          <w:color w:val="1A1A1A"/>
          <w:sz w:val="24"/>
          <w:szCs w:val="24"/>
        </w:rPr>
        <w:t xml:space="preserve">Propi</w:t>
      </w:r>
      <w:r>
        <w:rPr>
          <w:rFonts w:ascii="Calibri" w:eastAsia="Calibri" w:hAnsi="Calibri" w:cs="Calibri"/>
          <w:color w:val="1A1A1A"/>
          <w:sz w:val="24"/>
          <w:szCs w:val="24"/>
        </w:rPr>
        <w:t xml:space="preserve"> establece como mecanismo de identificación de las Personas Expuestas Políticamente (PEP), así como de sus parientes dentro del primer grado de consanguinidad, su cónyuge o conviviente y sus asociados cercanos, las siguientes medidas y procedimientos de debida diligencia adicionales, acordes al riesgo que implica relacionarse con una PEP (artículo 25, literal a, del Decreto 15-2026):</w:t>
      </w:r>
    </w:p>
    <w:p w14:paraId="5905126F" w14:textId="77777777" w:rsidR="00B51ECD" w:rsidRDefault="00B51ECD" w:rsidP="00B51ECD">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4BA4CE5E" w14:textId="77610A74" w:rsidR="005822A1" w:rsidRDefault="00B51ECD" w:rsidP="00732A7B">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b/>
          <w:bCs/>
          <w:color w:val="1A1A1A" w:themeColor="background1" w:themeShade="1A"/>
          <w:sz w:val="24"/>
          <w:szCs w:val="24"/>
        </w:rPr>
        <w:t xml:space="preserve">Personas Expuestas Políticamente Nacionales:</w:t>
      </w:r>
      <w:r>
        <w:rPr>
          <w:rFonts w:ascii="Calibri" w:hAnsi="Calibri"/>
          <w:color w:val="1A1A1A" w:themeColor="background1" w:themeShade="1A"/>
          <w:sz w:val="24"/>
          <w:szCs w:val="24"/>
        </w:rPr>
        <w:t xml:space="preserve"> se entenderán como PEP nacionales todas aquellas personas individuales identificadas al inicio o en el transcurso de la relación contractual, nacionales o naturalizados, que desempeñan o han desempeñado cargos públicos prominentes, conforme a la resolución anual de la Superintendencia de Bancos prevista en el artículo 2, literal g), del Decreto 15-2026. </w:t>
      </w:r>
    </w:p>
    <w:p w14:paraId="6AF3C80E" w14:textId="77777777" w:rsidR="00A02C80" w:rsidRDefault="00B51ECD"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color w:val="1A1A1A" w:themeColor="background1" w:themeShade="1A"/>
          <w:sz w:val="24"/>
          <w:szCs w:val="24"/>
        </w:rPr>
        <w:t xml:space="preserve">Las personas catalogadas como PEP continuarán sujetas a debida diligencia reforzada mientras desempeñen el cargo y durante un (1) año posterior a su cese; vencido dicho plazo dejarán de ser consideradas PEP sin necesidad de trámite alguno. Propi podrá, con base en su evaluación de riesgo documentada, mantener al cliente en riesgo alto por antecedente de exposición política, sin que ello equivalga a la condición legal de PEP.</w:t>
      </w:r>
    </w:p>
    <w:p w14:paraId="0A094B86" w14:textId="77777777" w:rsidR="00A02C80" w:rsidRDefault="00A02C80"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5D59C75B" w14:textId="77777777" w:rsidR="00A02C80" w:rsidRDefault="00A02C80" w:rsidP="00732A7B">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hAnsi="Calibri"/>
          <w:b/>
          <w:bCs/>
          <w:color w:val="1A1A1A" w:themeColor="background1" w:themeShade="1A"/>
          <w:sz w:val="24"/>
          <w:szCs w:val="24"/>
        </w:rPr>
        <w:t xml:space="preserve">Personas Expuestas Políticamente Extranjeras:</w:t>
      </w:r>
      <w:r>
        <w:rPr>
          <w:rFonts w:ascii="Calibri" w:hAnsi="Calibri"/>
          <w:color w:val="1A1A1A" w:themeColor="background1" w:themeShade="1A"/>
          <w:sz w:val="24"/>
          <w:szCs w:val="24"/>
        </w:rPr>
        <w:t xml:space="preserve"> se entenderán por PEP extranjeras y por ende, contrapartes de alto riesgo, las personas individuales que desempeñan o han desempeñado cargos públicos prominentes en otro país, o a quienes se les ha confiado una función prominente en una organización internacional.</w:t>
      </w:r>
    </w:p>
    <w:bookmarkEnd w:id="809"/>
    <w:p w14:paraId="5B4FD88D"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809" w:name="_Hlk176997749"/>
      <w:r>
        <w:rPr>
          <w:rFonts w:ascii="Calibri" w:eastAsia="Calibri" w:hAnsi="Calibri" w:cs="Calibri"/>
          <w:color w:val="1A1A1A"/>
          <w:sz w:val="24"/>
          <w:szCs w:val="24"/>
        </w:rPr>
        <w:t xml:space="preserve">Propi evaluará el riesgo basado en la función del cargo, el país en el que ejerce funciones (nacional o extranjera), el sector en el que trabaja y la exposición al manejo de fondos públicos. De igual manera se considerarán como factores de riesgo las jurisdicciones de alto riesgo, la naturaleza de la relación de negocios, las transacciones inusuales y el volumen esperado de operaciones.</w:t>
      </w:r>
    </w:p>
    <w:p w14:paraId="79FB81FE"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814" w:name="_Toc176997904"/>
      <w:bookmarkEnd w:id="814"/>
      <w:r>
        <w:rPr>
          <w:rFonts w:ascii="Calibri" w:eastAsia="Calibri" w:hAnsi="Calibri" w:cs="Calibri"/>
          <w:color w:val="1A1A1A"/>
          <w:sz w:val="24"/>
          <w:szCs w:val="24"/>
        </w:rPr>
        <w:t xml:space="preserve">Proceso para la Identificación de un PEP</w:t>
      </w:r>
    </w:p>
    <w:p w14:paraId="40B6EDB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D6CE9A2" w14:textId="22084A61" w:rsidR="003E3C2C" w:rsidRPr="0057078F" w:rsidRDefault="0093084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color w:val="1A1A1A" w:themeColor="background1" w:themeShade="1A"/>
        </w:rPr>
        <w:t xml:space="preserve">Los posibles clientes que sean Personas Expuestas Políticamente, así como sus personas vinculadas, se clasifican en riesgo alto y quedan sujetos a debida diligencia intensificada (artículo 25, literal a, del Decreto 15-2026). Con el fin de cumplir con la normativa vigente y con los estándares internacionales sobre prevención del LD/FT/FPADM, Propi establece el siguiente mecanismo de identificación de Personas Expuestas Políticamente -PEP- y personas vinculadas:</w:t>
      </w:r>
    </w:p>
    <w:p w14:paraId="313C818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321FDFC" w14:textId="46717A33" w:rsidR="003E3C2C" w:rsidRPr="00B51ECD" w:rsidRDefault="003E3C2C">
      <w:pPr>
        <w:pStyle w:val="ListParagraph"/>
        <w:numPr>
          <w:ilvl w:val="0"/>
          <w:numId w:val="3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hAnsi="Calibri"/>
          <w:color w:val="1A1A1A" w:themeColor="background1" w:themeShade="1A"/>
          <w:sz w:val="24"/>
          <w:szCs w:val="24"/>
        </w:rPr>
        <w:t xml:space="preserve">Verificar listados relacionados con personas individuales que desempeñan o han desempeñado cargos públicos prominentes en el país o en el extranjero (PEP), previo a establecer o iniciar cualquier negocio con clientes potenciales y durante la continuación de la relación comercial. Las listas de PEP serán revisadas periódicamente para garantizar que la información utilizada esté vigente y completa. Identificación de personas vinculadas: los posibles clientes deberán completar el Formulario Conoce a tu Cliente por medio de la herramienta tecnológica que designe el Oficial de Cumplimiento, la cual realiza una verificación por nombre en las listas de cautela y muestra una alerta automáticamente en caso de haber alguna coincidencia.</w:t>
      </w:r>
    </w:p>
    <w:p w14:paraId="5149717C"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69F342B3"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26B384CA" w14:textId="51634477" w:rsidR="003E3C2C" w:rsidRPr="00B51ECD" w:rsidRDefault="003E3C2C">
      <w:pPr>
        <w:pStyle w:val="ListParagraph"/>
        <w:numPr>
          <w:ilvl w:val="0"/>
          <w:numId w:val="4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Declaración formal: el posible cliente deberá suscribir la Declaración Jurada de Persona Expuesta Políticamente, en la que manifieste si él, su cónyuge o conviviente, sus parientes en primer grado de consanguinidad o sus asociados cercanos ostentan o han ostentado dentro del último año la condición de PEP y, en caso afirmativo, proporcionar la documentación de respaldo. Por cada beneficiario final identificado se suscribirá además la Declaración Jurada correspondiente.</w:t>
      </w:r>
    </w:p>
    <w:p w14:paraId="0EEFA712" w14:textId="77777777" w:rsid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00B6ACE" w14:textId="6FE458B4" w:rsidR="00EB5513" w:rsidRPr="00BF6284" w:rsidRDefault="00EB5513" w:rsidP="00EB5513">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En la misma declaración se identificará a los parientes en primer grado de consanguinidad, al cónyuge o conviviente y a los asociados cercanos, quienes serán verificados en las listas de cautela por medio de la herramienta tecnológica que designe el Oficial de Cumplimiento.</w:t>
      </w:r>
    </w:p>
    <w:p w14:paraId="04723A82" w14:textId="77777777" w:rsidR="00EB5513" w:rsidRP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0BA1F98" w14:textId="6A7B0DF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Las personas que en el proceso de vinculación se identifiquen como Personas Expuestas Políticamente o como personas vinculadas a una PEP deberán presentar, además de la documentación exigida por la debida diligencia intensificada, la documentación adicional que establezca el Oficial de Cumplimiento.</w:t>
      </w:r>
    </w:p>
    <w:p w14:paraId="7F5ACB6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9A9CA3F" w14:textId="27D8F5B6"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947" w:name="_Hlk176953062"/>
      <w:r>
        <w:rPr>
          <w:rFonts w:ascii="Calibri" w:eastAsia="Calibri" w:hAnsi="Calibri" w:cs="Calibri"/>
          <w:color w:val="1A1A1A"/>
          <w:sz w:val="24"/>
          <w:szCs w:val="24"/>
          <w:lang w:val="es-ES"/>
        </w:rPr>
        <w:t xml:space="preserve">Una vez concluida la evaluación del cliente, se procederá a archivar la información proporcionada por el cliente en un Registro, así como cualquier documentación relacionada con la relación comercial entre Propi y el cliente. El Registro de esta información se llevará a cabo en formato digital, manteniéndose una copia en la herramienta tecnológica que designe el Oficial de Cumplimiento.</w:t>
      </w:r>
    </w:p>
    <w:p w14:paraId="21791160"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2C17AC67" w14:textId="1AACF2B9"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Cuando se determine que un posible cliente o su beneficiario final es una Persona Expuesta Políticamente, dicha condición se mantendrá durante el tiempo que ocupe el cargo y por un período de un (1) año después de haberlo dejado (artículo 2, literal g, y artículo 25, literal a, del Decreto 15-2026).</w:t>
      </w:r>
    </w:p>
    <w:bookmarkEnd w:id="947"/>
    <w:p w14:paraId="4D67C627"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93A2FAB" w14:textId="3C8A8D1D"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establecimiento o la continuidad de relaciones de negocios con clientes o contrapartes calificados como PEP requiere la autorización por escrito del órgano de dirección superior, o del nivel gerencial o comité en que este delegue, previo dictamen favorable del Oficial de Cumplimiento, quien dejará constancia de su aprobación en el expediente.</w:t>
      </w:r>
    </w:p>
    <w:p w14:paraId="2843A51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212165" w14:textId="77777777" w:rsidR="001815AC" w:rsidRPr="0057078F" w:rsidRDefault="00000000" w:rsidP="0057078F">
      <w:pPr>
        <w:pStyle w:val="Heading2"/>
        <w:numPr>
          <w:ilvl w:val="1"/>
          <w:numId w:val="28"/>
        </w:numPr>
        <w:spacing w:line="276" w:lineRule="auto"/>
        <w:rPr>
          <w:rFonts w:cs="Calibri"/>
        </w:rPr>
      </w:pPr>
      <w:bookmarkStart w:id="976" w:name="_Toc176997905"/>
      <w:r>
        <w:rPr>
          <w:rFonts w:cs="Calibri"/>
        </w:rPr>
        <w:t>NORMAS GENERALES DE DEBIDA DILIGENCIA</w:t>
      </w:r>
      <w:bookmarkEnd w:id="976"/>
    </w:p>
    <w:p w14:paraId="000B08D2"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977" w:name="_Toc176997906"/>
      <w:r>
        <w:rPr>
          <w:rFonts w:ascii="Calibri" w:eastAsia="Calibri" w:hAnsi="Calibri" w:cs="Calibri"/>
          <w:color w:val="1A1A1A"/>
          <w:sz w:val="24"/>
          <w:szCs w:val="24"/>
        </w:rPr>
        <w:t>Clientes no aceptados</w:t>
      </w:r>
      <w:bookmarkEnd w:id="977"/>
    </w:p>
    <w:p w14:paraId="425E0DB2" w14:textId="1152992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expresamente declara no aceptar como clientes a personas individuales o jurídicas que:</w:t>
      </w:r>
    </w:p>
    <w:p w14:paraId="2D40425A" w14:textId="421D6555"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potencial cliente o sus representantes legales, miembros de la Administración o Junta Directiva, accionistas o socios con participación igual o mayor al quince por ciento (15 %) del capital social, se encuentren incluidos en alguna de las listas de bloqueo relacionadas a los delitos de LD/FT/FPADM, tales como: lista Interpol (Organización Internacional de Policía Criminal), OFAC (Office of Foreign Assets Control), ONU (Organización de las Naciones Unidas) u otra lista que Propi, a través de su Oficial de Cumplimiento, establezca. El Oficial de Cumplimiento deberá realizar esta verificación y la evidencia deberá archivarse en el expediente del cliente.</w:t>
      </w:r>
    </w:p>
    <w:p w14:paraId="6AECA911" w14:textId="71FC7AD4" w:rsidR="003E3C2C" w:rsidRPr="0057078F" w:rsidRDefault="003E3C2C"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Que la persona no sea capaz de comprobar fehacientemente el origen de los fondos o la titularidad de la cuenta bancaria desde la cual realizará los pagos. </w:t>
      </w:r>
    </w:p>
    <w:p w14:paraId="153E5243"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disponga alguna información confiable de la que se deduzca que pudieran estar relacionadas con actividades delictivas que generen lavado de dinero o vinculadas al terrorismo.</w:t>
      </w:r>
    </w:p>
    <w:p w14:paraId="12E6867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prohibidos por la ley.</w:t>
      </w:r>
    </w:p>
    <w:p w14:paraId="30C170ED"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rehúsen a facilitar la información o la documentación que se requiera.</w:t>
      </w:r>
    </w:p>
    <w:p w14:paraId="08160AF1"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Tengan negocios en los que, por su naturaleza, sea imposible la verificación de la legitimidad de las actividades o la procedencia de los fondos.</w:t>
      </w:r>
    </w:p>
    <w:p w14:paraId="50AE870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ilegales.</w:t>
      </w:r>
    </w:p>
    <w:p>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Utilicen o pretendan utilizar cuentas anónimas, cifradas, con nombres ficticios, interpósitas personas o cualquier esquema que dificulte, distorsione o impida conocer la verdadera identidad del cliente o de su beneficiario final (artículo 27 del Decreto 15-2026).</w:t>
      </w:r>
    </w:p>
    <w:p w14:paraId="527F22A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62792D" w14:textId="099DE23E"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caso de que algún cliente se encuentre bajo alguna de las causales anteriores, Propi con la finalidad de prevenir ser utilizada directa o indirectamente para el Lavado de Dinero u Otros Activos y/o canalización de recursos para el Financiamiento del Terrorismo, deberá tomar las medidas respectivas para terminar la relación comercial y, a través del Oficial de Cumplimiento, se practicará el examen previsto en el artículo 22 del Decreto 15-2026 y, de proceder, se remitirá el Reporte de Transacción Sospechosa a la Superintendencia de Bancos a través de la Intendencia de Verificación Especial.</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Cuando la coincidencia sea con las listas emitidas por el Consejo de Seguridad de las Naciones Unidas, se aplicará además, de inmediato, el procedimiento de limitación preventiva y comunicación al Ministerio Público previsto en este Manual (artículo 43 del Decreto 15-2026).</w:t>
      </w:r>
    </w:p>
    <w:p w14:paraId="46CF98E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528A803" w14:textId="77777777" w:rsidR="001815AC" w:rsidRPr="0057078F" w:rsidRDefault="00000000" w:rsidP="0057078F">
      <w:pPr>
        <w:pStyle w:val="Heading3"/>
        <w:numPr>
          <w:ilvl w:val="2"/>
          <w:numId w:val="18"/>
        </w:numPr>
        <w:spacing w:line="276" w:lineRule="auto"/>
        <w:jc w:val="both"/>
        <w:rPr>
          <w:rFonts w:ascii="Calibri" w:eastAsia="Calibri" w:hAnsi="Calibri" w:cs="Calibri"/>
          <w:color w:val="1A1A1A"/>
          <w:sz w:val="24"/>
          <w:szCs w:val="24"/>
        </w:rPr>
      </w:pPr>
      <w:bookmarkStart w:id="1012" w:name="_Toc176997907"/>
      <w:r>
        <w:rPr>
          <w:rFonts w:ascii="Calibri" w:eastAsia="Calibri" w:hAnsi="Calibri" w:cs="Calibri"/>
          <w:color w:val="1A1A1A"/>
          <w:sz w:val="24"/>
          <w:szCs w:val="24"/>
        </w:rPr>
        <w:t>Procedencia de fondos</w:t>
      </w:r>
      <w:bookmarkEnd w:id="1012"/>
    </w:p>
    <w:p w14:paraId="23C23E61" w14:textId="59E9DB2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o el personal de negocios, cuando identifiquen que una operación o transacción no está acorde al perfil transaccional de un cliente o contraparte, o en virtud de la aplicación de los mecanismos de Debida Diligencia Intensificada podrán solicitar a los clientes o contrapartes, el documento de procedencia u origen de fondos. Para ello Propi podrá solicitar cualquier información y documentación financiera o mercantil, contable, tributaria, representativa de la propiedad, posesión o tenencia de bienes muebles e inmuebles, constancia de sueldos, o ingresos que justifiquen la transacción.</w:t>
      </w:r>
    </w:p>
    <w:p w14:paraId="6DDFC70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E470A7"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2" w:name="_Toc176997908"/>
      <w:r>
        <w:rPr>
          <w:rFonts w:ascii="Calibri" w:eastAsia="Calibri" w:hAnsi="Calibri" w:cs="Calibri"/>
          <w:color w:val="1A1A1A"/>
          <w:sz w:val="24"/>
          <w:szCs w:val="24"/>
        </w:rPr>
        <w:t>Actualización de información de clientes</w:t>
      </w:r>
      <w:bookmarkEnd w:id="1022"/>
    </w:p>
    <w:p w14:paraId="22C2873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w:t>
      </w:r>
      <w:r>
        <w:rPr>
          <w:rFonts w:ascii="Calibri" w:eastAsia="Calibri" w:hAnsi="Calibri" w:cs="Calibri"/>
          <w:color w:val="1A1A1A"/>
          <w:sz w:val="24"/>
          <w:szCs w:val="24"/>
        </w:rPr>
        <w:t xml:space="preserve"> verificará y actualizará periódicamente los datos de los clientes que por su naturaleza puedan variar (dirección, teléfono, actividad económica, origen de los recursos, composición accionaria, beneficiarios finales, entre otros). Para los clientes clasificados en riesgo alto la actualización se realizará por lo menos una vez al año (artículo 22 del Decreto 15-2026); para los demás niveles, con la periodicidad que establezca la Política de Conocimiento del Cliente y, en todo caso, ante cualquier evento que modifique el perfil o el riesgo del cliente.</w:t>
      </w:r>
    </w:p>
    <w:p w14:paraId="3F3E4000"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BCA2CF0" w14:textId="0A2BEC4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Se deberá establecer como obligación del cliente el deber de informar cualquier cambio de los datos anteriormente indicados. </w:t>
      </w:r>
    </w:p>
    <w:p w14:paraId="362AB28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F0EC500" w14:textId="33F9929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requerir la actualización de la información del cliente a través de cualquier medio, sea este por correspondencia a la última dirección física o correo electrónico declarado por el cliente, mediante el uso de tecnologías de la información que permitan validar el requerimiento de la información solicitada.</w:t>
      </w:r>
    </w:p>
    <w:p w14:paraId="14A8451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66ECCF6"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 la actualización de datos del cliente en cualquier momento, cuando en previo análisis se determine su exposición a un mayor grado al riesgo de LD/FT/FPADM.</w:t>
      </w:r>
    </w:p>
    <w:p w14:paraId="034E6DFE"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3B9B1CA" w14:textId="70BFA5F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negativa del cliente de brindar la información solicitada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quedar documentada.</w:t>
      </w:r>
    </w:p>
    <w:p w14:paraId="75E6639A"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7" w:name="_Toc176997909"/>
      <w:r>
        <w:rPr>
          <w:rFonts w:ascii="Calibri" w:eastAsia="Calibri" w:hAnsi="Calibri" w:cs="Calibri"/>
          <w:color w:val="1A1A1A"/>
          <w:sz w:val="24"/>
          <w:szCs w:val="24"/>
        </w:rPr>
        <w:t>Mantenimiento y finalización de relaciones contractuales</w:t>
      </w:r>
      <w:bookmarkEnd w:id="1027"/>
    </w:p>
    <w:p w14:paraId="22880741" w14:textId="77777777" w:rsidR="001815AC" w:rsidRPr="0057078F" w:rsidRDefault="001815AC" w:rsidP="0057078F">
      <w:pPr>
        <w:pBdr>
          <w:top w:val="nil"/>
          <w:left w:val="nil"/>
          <w:bottom w:val="nil"/>
          <w:right w:val="nil"/>
          <w:between w:val="nil"/>
        </w:pBdr>
        <w:spacing w:after="0" w:line="276" w:lineRule="auto"/>
        <w:ind w:left="720" w:firstLine="720"/>
        <w:jc w:val="both"/>
        <w:rPr>
          <w:rFonts w:ascii="Calibri" w:eastAsia="Calibri" w:hAnsi="Calibri" w:cs="Calibri"/>
          <w:color w:val="1A1A1A"/>
          <w:sz w:val="24"/>
          <w:szCs w:val="24"/>
        </w:rPr>
      </w:pPr>
    </w:p>
    <w:p w14:paraId="578B0946" w14:textId="00354D7B"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Cuando Propi, luego de realizar un análisis con los elementos objetivos de riesgo del cliente, determine la existencia de elementos suficientes para considerar que existe un Riesgo LD/FT/FPADM que no puede ser mitigado, o cuando le resulte imposible aplicar las medidas de debida diligencia, pondrá fin a la relación contractual o de negocios. Deberá documentar la evidencia de este análisis y practicar el examen que permita determinar la procedencia de un Reporte de Transacción Sospechosa, conforme a los artículos 22 y 30 del Decreto 15-2026, por los medios establecidos por la IVE.</w:t>
      </w:r>
    </w:p>
    <w:p w14:paraId="4EF32AB3" w14:textId="4752CA4F" w:rsidR="00700EB3" w:rsidRPr="0057078F" w:rsidRDefault="00700EB3"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ningún momento se notificará ni alertará al cliente de que se está examinando alguna transacción, de que se ha remitido un Reporte de Transacción Sospechosa o de que existe una investigación por parte de autoridad competente (artículo 38 del Decreto 15-2026). Toda comunicación de rechazo o terminación se fundará en causas comerciales o contractuales, conforme al texto modelo aprobado por el Oficial de Cumplimiento.</w:t>
      </w:r>
    </w:p>
    <w:p w14:paraId="7577DC10" w14:textId="61D533FD" w:rsidR="001151C3" w:rsidRPr="0057078F" w:rsidRDefault="00000000">
      <w:pPr>
        <w:pBdr>
          <w:top w:val="nil"/>
          <w:left w:val="nil"/>
          <w:bottom w:val="nil"/>
          <w:right w:val="nil"/>
          <w:between w:val="nil"/>
        </w:pBdr>
        <w:spacing w:after="0" w:line="276" w:lineRule="auto"/>
        <w:jc w:val="both"/>
        <w:rPr>
          <w:rFonts w:ascii="Calibri" w:eastAsia="Calibri" w:hAnsi="Calibri" w:cs="Calibri"/>
          <w:b/>
          <w:bCs/>
          <w:color w:val="1A1A1A"/>
          <w:sz w:val="24"/>
          <w:szCs w:val="24"/>
          <w:lang w:val="es-ES"/>
        </w:rPr>
      </w:pPr>
      <w:r>
        <w:rPr>
          <w:rFonts w:ascii="Calibri" w:eastAsia="Calibri" w:hAnsi="Calibri" w:cs="Calibri"/>
          <w:color w:val="1A1A1A"/>
          <w:sz w:val="24"/>
          <w:szCs w:val="24"/>
        </w:rPr>
        <w:t xml:space="preserve">Previo a dar por terminada una relación contractual conforme a los párrafos anteriores, el Oficial de Cumplimiento aplicará el procedimiento de examen y reporte previsto en la sección X de este Manual y en el Procedimiento de Reportes vigente.</w:t>
      </w:r>
    </w:p>
    <w:p w14:paraId="404243B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Las personas individuales o jurídicas con las cuales Propi termine la relación comercial por los motivos señalados en este capítulo se incluirán en la Lista de Control interna de personas no aceptadas, que administra el Oficial de Cumplimiento.</w:t>
      </w:r>
    </w:p>
    <w:p w14:paraId="492D6F6B" w14:textId="77777777" w:rsidR="001815AC" w:rsidRPr="0057078F" w:rsidRDefault="00000000" w:rsidP="0057078F">
      <w:pPr>
        <w:pStyle w:val="Heading1"/>
        <w:spacing w:line="276" w:lineRule="auto"/>
        <w:rPr>
          <w:rFonts w:cs="Calibri"/>
        </w:rPr>
      </w:pPr>
      <w:bookmarkStart w:id="1071" w:name="_Toc176997910"/>
      <w:r>
        <w:rPr>
          <w:rFonts w:cs="Calibri"/>
        </w:rPr>
        <w:t xml:space="preserve">POLÍTICAS DE CONOCIMIENTO DE EMPLEADOS</w:t>
      </w:r>
      <w:bookmarkEnd w:id="1071"/>
    </w:p>
    <w:p w14:paraId="6F1839D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072" w:name="_heading=h.49x2ik5" w:colFirst="0" w:colLast="0"/>
      <w:bookmarkEnd w:id="1072"/>
    </w:p>
    <w:p w14:paraId="0F6F71A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Con el objeto de velar por la conservación de la calidad moral del personal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se cuenta con mecanismos de selección de personal que contribuyen a conocer de manera integral los aspectos que hacen parte de los empleados (personales, profesionales, familiares, entre otros), para lo cual se solicitará información y documentación que se considere relevante y se completará el </w:t>
      </w:r>
      <w:r>
        <w:rPr>
          <w:rFonts w:ascii="Calibri" w:eastAsia="Calibri" w:hAnsi="Calibri" w:cs="Calibri"/>
          <w:b/>
          <w:color w:val="1A1A1A"/>
          <w:sz w:val="24"/>
          <w:szCs w:val="24"/>
        </w:rPr>
        <w:t>Formulario de Vinculación de Empleados</w:t>
      </w:r>
      <w:r>
        <w:rPr>
          <w:rFonts w:ascii="Calibri" w:eastAsia="Calibri" w:hAnsi="Calibri" w:cs="Calibri"/>
          <w:color w:val="1A1A1A"/>
          <w:sz w:val="24"/>
          <w:szCs w:val="24"/>
        </w:rPr>
        <w:t xml:space="preserve">, el cual será archivado en el expediente que se llevará por cada empleado. </w:t>
      </w:r>
    </w:p>
    <w:p w14:paraId="4168D6D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 información mínima para presentar por parte de los empleados y que deberá quedar archivada en el respectivo expediente una vez formalizada su contratación es la siguiente:</w:t>
      </w:r>
    </w:p>
    <w:p w14:paraId="6E06932D"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 de Identidad</w:t>
      </w:r>
    </w:p>
    <w:p w14:paraId="0D491179"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NIT o identificación tributaria.</w:t>
      </w:r>
    </w:p>
    <w:p w14:paraId="473006A1"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documentos previsionales o de seguridad social.</w:t>
      </w:r>
    </w:p>
    <w:p w14:paraId="187B26C2" w14:textId="0CA9022D"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Carencia de Antecedentes Policiales.</w:t>
      </w:r>
    </w:p>
    <w:p w14:paraId="478A92E7" w14:textId="5F6D244A"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Carencia de Antecedentes Penales.</w:t>
      </w:r>
    </w:p>
    <w:p w14:paraId="2A328B20"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Curriculum Vitae.</w:t>
      </w:r>
    </w:p>
    <w:p>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Referencias laborales y personales por escrito.</w:t>
      </w:r>
    </w:p>
    <w:p w14:paraId="701010FB" w14:textId="746237E2"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Títulos académicos obtenidos.</w:t>
      </w:r>
    </w:p>
    <w:p w14:paraId="33685C87"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Información de contactos.</w:t>
      </w:r>
    </w:p>
    <w:p>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Declaración patrimonial, cuando el puesto lo amerite conforme a la política de recursos humanos.</w:t>
      </w:r>
    </w:p>
    <w:p w14:paraId="45B27DBC" w14:textId="710CBA4B"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Otros documentos para la contratación que el departamento de Recursos Humanos considere pertinentes.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verificará contra documentos originales la identificación y los estudios del candidato y confirmará las referencias laborales y personales presentadas, dejando constancia en el expediente de las fuentes consultadas, los resultados obtenidos y la conclusión. El procedimiento de reclutamiento, selección y contratación se desarrolla en la política de recursos humanos y en el Reglamento Interno de Trabajo.</w:t>
      </w:r>
    </w:p>
    <w:p w14:paraId="6B8E753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33338E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Adicionalmente, previo a cualquier contratación o en cualquier momento de la relación laboral, el colaborador o área responsable deberá verificar al candidato o empleado en las listas de sanciones y de cautela nacionales e internacionales, incluidas las listas emitidas por el Consejo de Seguridad de las Naciones Unidas, la OFAC, Interpol y las listas de países o jurisdicciones de alto riesgo del GAFI (artículo 12, literal a, del Decreto 15-2026). La evidencia de esta verificación deberá archivarse en el expediente del empleado. La información del expediente del empleado deberá ser actualizada al menos una vez cada dos años. </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ningún caso Propi contratará o nombrará como personal, director, agente, corredor, intermediario o colaborador, cualquiera que sea la forma jurídica de su contratación, a personas que figuren en las listas emitidas por el Consejo de Seguridad de las Naciones Unidas, ni a quienes hayan sido condenados por los delitos de lavado de dinero u otros activos o financiamiento del terrorismo, mientras no hayan transcurrido cinco (5) años de cumplida la pena (artículo 12, literal 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estándares de esta sección se aplican también a los directores, agentes, corredores externos e intermediarios que actúen por cuenta de Propi. Las obligaciones laborales del personal en materia de prevención del LD/FT/FPADM y el régimen disciplinario se desarrollan en el Reglamento Interno de Trabajo y en el Código de Ética.</w:t>
      </w:r>
    </w:p>
    <w:p w14:paraId="6F1B2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FC9FF93" w14:textId="5DAC743B"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entregará a todos los funcionarios, empleados, personal temporal o subcontratado el Código de Ética y el presente Manual; los cuales deberán leer y firmar constancia de su conocimiento. Todo empleado o colaborador deberá apoyar la labor del Oficial de Cumplimiento facilitando acceso a la documentación o información necesaria para que éste realice su función.</w:t>
      </w:r>
    </w:p>
    <w:p w14:paraId="035EAE0E"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lastRenderedPageBreak/>
        <w:t xml:space="preserve">Propi </w:t>
      </w:r>
      <w:r>
        <w:rPr>
          <w:rFonts w:ascii="Calibri" w:eastAsia="Calibri" w:hAnsi="Calibri" w:cs="Calibri"/>
          <w:color w:val="1A1A1A"/>
          <w:sz w:val="24"/>
          <w:szCs w:val="24"/>
        </w:rPr>
        <w:t xml:space="preserve">establece que los funcionarios, empleados, permanentes o temporales deben anteponer el cumplimiento de las normas en materia de prevención de LD/FT/FPADM, al logro de las metas comerciales.    </w:t>
      </w:r>
    </w:p>
    <w:p w14:paraId="6248081B" w14:textId="77777777" w:rsidR="001815AC" w:rsidRPr="0057078F" w:rsidRDefault="00000000" w:rsidP="0057078F">
      <w:pPr>
        <w:pStyle w:val="Heading1"/>
        <w:spacing w:line="276" w:lineRule="auto"/>
        <w:rPr>
          <w:rFonts w:cs="Calibri"/>
        </w:rPr>
      </w:pPr>
      <w:bookmarkStart w:id="1093" w:name="_Toc176997911"/>
      <w:r>
        <w:rPr>
          <w:rFonts w:cs="Calibri"/>
        </w:rPr>
        <w:t xml:space="preserve">POLÍTICAS DE CONOCIMIENTO DE PROVEEDORES</w:t>
      </w:r>
      <w:bookmarkEnd w:id="1093"/>
    </w:p>
    <w:p w14:paraId="006BD66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40D7BD8" w14:textId="77777777" w:rsidR="001815AC" w:rsidRPr="0057078F" w:rsidRDefault="00000000" w:rsidP="0057078F">
      <w:pPr>
        <w:pBdr>
          <w:top w:val="nil"/>
          <w:left w:val="nil"/>
          <w:bottom w:val="nil"/>
          <w:right w:val="nil"/>
          <w:between w:val="nil"/>
        </w:pBdr>
        <w:spacing w:after="162"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Política de Conocimiento de Proveedores tiene por finalidad estandarizar los métodos internos de control y evaluación de los proveedores de Propi, a fin de mitigar su exposición al Riesgo LD/FT/FPADM.</w:t>
      </w:r>
    </w:p>
    <w:p w14:paraId="3B49CF11"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conformidad con el enfoque basado en riesgo, la segmentación de la debida diligencia de proveedores, la documentación mínima por tipo de proveedor, los umbrales aplicables a compras únicas y el formulario correspondiente se establecen en la Política de Conocimiento de Proveedores vigente.</w:t>
      </w:r>
    </w:p>
    <w:p w14:paraId="25C6BE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7A42CDB" w14:textId="053145D1" w:rsidR="001815AC" w:rsidRPr="0057078F" w:rsidRDefault="00000000" w:rsidP="0057078F">
      <w:pPr>
        <w:pBdr>
          <w:top w:val="nil"/>
          <w:left w:val="nil"/>
          <w:bottom w:val="nil"/>
          <w:right w:val="nil"/>
          <w:between w:val="nil"/>
        </w:pBdr>
        <w:spacing w:line="276" w:lineRule="auto"/>
        <w:rPr>
          <w:rFonts w:ascii="Calibri" w:hAnsi="Calibri" w:cs="Calibri"/>
          <w:b/>
          <w:smallCaps/>
          <w:color w:val="1A1A1A"/>
          <w:sz w:val="24"/>
          <w:szCs w:val="24"/>
        </w:rPr>
      </w:pPr>
      <w:bookmarkStart w:id="1103" w:name="_heading=h.147n2zr" w:colFirst="0" w:colLast="0"/>
      <w:bookmarkEnd w:id="1103"/>
    </w:p>
    <w:p w14:paraId="63789726" w14:textId="77777777" w:rsidR="001151C3" w:rsidRPr="0057078F" w:rsidRDefault="001151C3" w:rsidP="0057078F">
      <w:pPr>
        <w:spacing w:after="0" w:line="276" w:lineRule="auto"/>
        <w:jc w:val="both"/>
        <w:rPr>
          <w:rFonts w:ascii="Calibri" w:eastAsia="Calibri" w:hAnsi="Calibri" w:cs="Calibri"/>
          <w:color w:val="1A1A1A"/>
          <w:sz w:val="24"/>
          <w:szCs w:val="24"/>
        </w:rPr>
      </w:pPr>
    </w:p>
    <w:p w14:paraId="2298994A" w14:textId="08723FD7" w:rsidR="001815AC" w:rsidRPr="0057078F" w:rsidRDefault="001151C3">
      <w:pPr>
        <w:spacing w:after="0" w:line="276" w:lineRule="auto"/>
        <w:jc w:val="both"/>
        <w:rPr>
          <w:rFonts w:ascii="Calibri" w:eastAsia="Calibri" w:hAnsi="Calibri" w:cs="Calibri"/>
          <w:color w:val="000000"/>
          <w:sz w:val="24"/>
          <w:szCs w:val="24"/>
        </w:rPr>
      </w:pPr>
      <w:r>
        <w:rPr>
          <w:rFonts w:ascii="Calibri" w:eastAsia="Calibri" w:hAnsi="Calibri" w:cs="Calibri"/>
          <w:color w:val="1A1A1A"/>
          <w:sz w:val="24"/>
          <w:szCs w:val="24"/>
        </w:rPr>
        <w:t xml:space="preserve">Adicionalmente, en el proceso de vinculación del proveedor y previo a establecer la relación comercial, se completará el Formulario Conoce a tu Proveedor por medio de la herramienta tecnológica que designe el Oficial de Cumplimiento, y se verificará que el proveedor, sus accionistas o socios con participación igual o mayor al quince por ciento (15 %), su representante legal, apoderados, miembros del órgano de administración y beneficiarios finales no figuren en listas de sanciones y de cautela nacionales e internacionales; toda coincidencia generará una alerta que analizará el Oficial de Cumplimiento.</w:t>
      </w:r>
    </w:p>
    <w:p w14:paraId="44859C72"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359AECD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Para los proveedores con los que se realice una compra única, la exigencia del Formulario Conoce a tu Proveedor y de la documentación aplicable se rige por los umbrales que establezca la Política de Conocimiento de Proveedores vigente.</w:t>
      </w:r>
    </w:p>
    <w:p w14:paraId="65B4E9D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777E7B" w14:textId="75950233"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que algún potencial proveedor se encontrare bajo alguna de las causales de alerta, </w:t>
      </w: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con la finalidad de prevenir ser utilizada directa o indirectamente para el Lavado de Dinero y/o canalización de recursos para el Financiamiento del Terrorismo, no establecerá relación comercial con dicho proveedor y para los casos que ya se haya contratado deberá tomar las medidas respectivas para terminar la relación comercial.</w:t>
      </w:r>
    </w:p>
    <w:p w14:paraId="273C1A7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de proveedores internacionales que sean una persona jurídica que cotiza en bolsa de valores y ésta sea sujeta a requisitos de revelación de información en el mercado de valores, no será necesario identificar a los beneficiarios finales de dichas sociedades, bastará con recabar la información que esté a disposición pública para formar el expediente. Esta información deberá actualizarse de forma anual.</w:t>
      </w:r>
    </w:p>
    <w:p w14:paraId="47CF07CA" w14:textId="77777777" w:rsidR="001815AC" w:rsidRPr="0057078F" w:rsidRDefault="00000000" w:rsidP="0057078F">
      <w:pPr>
        <w:tabs>
          <w:tab w:val="left" w:pos="2770"/>
        </w:tabs>
        <w:spacing w:before="117" w:line="276" w:lineRule="auto"/>
        <w:ind w:right="-286"/>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w:t>
      </w:r>
      <w:r>
        <w:rPr>
          <w:rFonts w:ascii="Calibri" w:eastAsia="Calibri" w:hAnsi="Calibri" w:cs="Calibri"/>
          <w:color w:val="1A1A1A"/>
          <w:sz w:val="24"/>
          <w:szCs w:val="24"/>
        </w:rPr>
        <w:t xml:space="preserve"> conformará un expediente para cada proveedor el cual deberá contener la documentación presentada por el proveedor, el formulario debidamente firmado y la debida diligencia que se ha realizado para establecer la relación de negocio con Propi.</w:t>
      </w:r>
    </w:p>
    <w:p>
      <w:pPr>
        <w:tabs>
          <w:tab w:val="left" w:pos="2770"/>
        </w:tabs>
        <w:spacing w:before="117" w:line="276" w:lineRule="auto"/>
        <w:ind w:right="-286"/>
        <w:jc w:val="both"/>
        <w:rPr>
          <w:rFonts w:ascii="Calibri" w:eastAsia="Calibri" w:hAnsi="Calibri" w:cs="Calibri"/>
          <w:color w:val="1A1A1A"/>
          <w:sz w:val="24"/>
          <w:szCs w:val="24"/>
        </w:rPr>
      </w:pPr>
      <w:r>
        <w:rPr>
          <w:rFonts w:ascii="Calibri" w:eastAsia="Calibri" w:hAnsi="Calibri" w:cs="Calibri"/>
          <w:color w:val="1A1A1A"/>
          <w:sz w:val="24"/>
          <w:szCs w:val="24"/>
        </w:rPr>
        <w:t xml:space="preserve">Los contratos con proveedores de servicios que participen en la operación de Propi incluirán su obligación de colaborar con la Superintendencia de Bancos, a través de la IVE, cuando esta lo requiera, en los términos del artículo 35 del Decreto 15-2026.</w:t>
      </w:r>
    </w:p>
    <w:p w14:paraId="6C6AA6B3" w14:textId="77777777" w:rsidR="001815AC" w:rsidRPr="0057078F" w:rsidRDefault="00000000" w:rsidP="0057078F">
      <w:pPr>
        <w:pStyle w:val="Heading1"/>
        <w:spacing w:line="276" w:lineRule="auto"/>
        <w:rPr>
          <w:rFonts w:cs="Calibri"/>
        </w:rPr>
      </w:pPr>
      <w:bookmarkStart w:id="1191" w:name="_Toc176997912"/>
      <w:bookmarkEnd w:id="1191"/>
      <w:r>
        <w:rPr>
          <w:rFonts w:cs="Calibri"/>
        </w:rPr>
        <w:t xml:space="preserve">POLÍTICAS PARA EL MONITOREO, DETECCIÓN Y REPORTE DE TRANSACCIONES INUSUALES, SOSPECHOSAS Y EN EFECTIVO</w:t>
      </w:r>
    </w:p>
    <w:p w14:paraId="528A0475" w14:textId="77777777" w:rsidR="001815AC" w:rsidRPr="0057078F" w:rsidRDefault="001815AC" w:rsidP="0057078F">
      <w:pPr>
        <w:spacing w:line="276" w:lineRule="auto"/>
        <w:rPr>
          <w:rFonts w:ascii="Calibri" w:hAnsi="Calibri" w:cs="Calibri"/>
          <w:sz w:val="24"/>
          <w:szCs w:val="24"/>
        </w:rPr>
      </w:pPr>
    </w:p>
    <w:p w14:paraId="13D9D7D8" w14:textId="77777777" w:rsidR="001815AC" w:rsidRPr="0057078F" w:rsidRDefault="00000000" w:rsidP="0057078F">
      <w:pPr>
        <w:pStyle w:val="Heading2"/>
        <w:numPr>
          <w:ilvl w:val="0"/>
          <w:numId w:val="3"/>
        </w:numPr>
        <w:spacing w:line="276" w:lineRule="auto"/>
        <w:rPr>
          <w:rFonts w:cs="Calibri"/>
        </w:rPr>
      </w:pPr>
      <w:bookmarkStart w:id="1192" w:name="_Toc176997913"/>
      <w:r>
        <w:rPr>
          <w:rFonts w:cs="Calibri"/>
        </w:rPr>
        <w:t>MONITOREO</w:t>
      </w:r>
      <w:bookmarkEnd w:id="1192"/>
      <w:r>
        <w:rPr>
          <w:rFonts w:cs="Calibri"/>
        </w:rPr>
        <w:t xml:space="preserve"> </w:t>
      </w:r>
    </w:p>
    <w:p w14:paraId="273A3D0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04515C9" w14:textId="21CFBD4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193" w:name="bookmark=id.ihv636" w:colFirst="0" w:colLast="0"/>
      <w:bookmarkEnd w:id="1193"/>
      <w:r>
        <w:rPr>
          <w:rFonts w:ascii="Calibri" w:eastAsia="Calibri" w:hAnsi="Calibri" w:cs="Calibri"/>
          <w:color w:val="1A1A1A"/>
          <w:sz w:val="24"/>
          <w:szCs w:val="24"/>
        </w:rPr>
        <w:t xml:space="preserve">Propi establecerá e implementará políticas, procedimientos, controles y sistemas de monitoreo de todas las transacciones y operaciones que realiza, adecuados al volumen y complejidad de sus actividades, que generen alertas en función del Riesgo LD/FT/FPADM y permitan identificar transacciones inusuales con prontitud (artículo 28 del Decreto 15-2026). El Oficial de Cumplimiento efectuará un monitoreo permanente de las transacciones llevadas a cabo con los clientes.</w:t>
      </w:r>
    </w:p>
    <w:p w14:paraId="75616F5F" w14:textId="52AAFC1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determinar las transacciones inusuales que deben ser analizadas por el Oficial de Cumplimiento, este deberá considerar aquellas transacciones de ingreso o egreso que, por sus montos, medios de pago, frecuencia o tipo de cliente, no se ajusten al perfil de riesgo del cliente sin una justificación económica o legal razonable, o que activen alguna de las señales de alerta definidas.</w:t>
      </w:r>
    </w:p>
    <w:p w14:paraId="35FA87E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73D4CE9" w14:textId="2C8F22B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la determinación de las señales de alerta que se deberán monitorear permanentemente, Propi, por medio del Oficial de Cumplimiento, definirá y mantendrá actualizadas las señales de alerta conforme a su evaluación del Riesgo LD/FT/FPADM y a las tipologías, tendencias y patrones de LD/FT que comunique la IVE (artículos 28 y 52, literal g, del Decreto 15-2026). Es obligación del Oficial de Cumplimiento revisar y actualizar permanentemente estas señales para asegurar que se encuentren apegadas a la realidad del negocio y sus operaciones.</w:t>
      </w:r>
    </w:p>
    <w:p w14:paraId="35BC813A" w14:textId="77777777" w:rsidR="001815AC" w:rsidRPr="0057078F" w:rsidRDefault="001815AC" w:rsidP="0057078F">
      <w:pPr>
        <w:spacing w:line="276" w:lineRule="auto"/>
        <w:jc w:val="both"/>
        <w:rPr>
          <w:rFonts w:ascii="Calibri" w:eastAsia="Calibri" w:hAnsi="Calibri" w:cs="Calibri"/>
          <w:color w:val="1A1A1A"/>
          <w:sz w:val="24"/>
          <w:szCs w:val="24"/>
        </w:rPr>
      </w:pPr>
    </w:p>
    <w:p w14:paraId="1BB66E35" w14:textId="77777777" w:rsidR="001815AC" w:rsidRPr="0057078F" w:rsidRDefault="00000000" w:rsidP="0057078F">
      <w:pPr>
        <w:tabs>
          <w:tab w:val="left" w:pos="3119"/>
        </w:tabs>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Todos los escenarios que se utilicen para el monitoreo deberán documentarse utilizando el soporte físico o digital.</w:t>
      </w:r>
    </w:p>
    <w:p w14:paraId="40AE9C74" w14:textId="77777777" w:rsidR="001815AC" w:rsidRPr="0057078F" w:rsidRDefault="00000000" w:rsidP="0057078F">
      <w:pPr>
        <w:pStyle w:val="Heading2"/>
        <w:numPr>
          <w:ilvl w:val="0"/>
          <w:numId w:val="3"/>
        </w:numPr>
        <w:spacing w:line="276" w:lineRule="auto"/>
        <w:rPr>
          <w:rFonts w:cs="Calibri"/>
        </w:rPr>
      </w:pPr>
      <w:bookmarkStart w:id="1210" w:name="_Toc176997914"/>
      <w:bookmarkEnd w:id="1210"/>
      <w:r>
        <w:rPr>
          <w:rFonts w:cs="Calibri"/>
        </w:rPr>
        <w:t xml:space="preserve">REPORTE INTERNO DE TRANSACCIONES INUSUALES O SOSPECHOSAS</w:t>
      </w:r>
    </w:p>
    <w:p w14:paraId="05B4E6A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8009C30" w14:textId="7FCB55A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empleado, director, agente, corredor o colaborador de Propi que conozca información sobre una transacción inusual o sobre la actividad sospechosa de algún cliente o proveedor está en la obligación de notificarlo de inmediato al Oficial de Cumplimiento, utilizando el Formulario de Reporte Interno de Transacciones Inusuales o Sospechosas, conforme al Procedimiento de Reporte Interno vigente. Todo reporte recibido por el Oficial de Cumplimiento ingresará al examen previsto en el siguiente literal.</w:t>
      </w:r>
    </w:p>
    <w:p w14:paraId="1A748D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537DB" w14:textId="77777777" w:rsidR="001815AC" w:rsidRPr="0057078F" w:rsidRDefault="00000000" w:rsidP="0057078F">
      <w:pPr>
        <w:pStyle w:val="Heading2"/>
        <w:numPr>
          <w:ilvl w:val="0"/>
          <w:numId w:val="3"/>
        </w:numPr>
        <w:spacing w:line="276" w:lineRule="auto"/>
        <w:rPr>
          <w:rFonts w:cs="Calibri"/>
        </w:rPr>
      </w:pPr>
      <w:bookmarkStart w:id="1219" w:name="_Toc176997915"/>
      <w:bookmarkEnd w:id="1219"/>
      <w:r>
        <w:rPr>
          <w:rFonts w:cs="Calibri"/>
        </w:rPr>
        <w:t xml:space="preserve">ANÁLISIS DE TRANSACCIONES INUSUALES</w:t>
      </w:r>
    </w:p>
    <w:p w14:paraId="1FEC8AF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09C580F" w14:textId="19A81B0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20" w:name="_heading=h.41mghml" w:colFirst="0" w:colLast="0"/>
      <w:bookmarkEnd w:id="1220"/>
      <w:r>
        <w:rPr>
          <w:rFonts w:ascii="Calibri" w:eastAsia="Calibri" w:hAnsi="Calibri" w:cs="Calibri"/>
          <w:color w:val="1A1A1A"/>
          <w:sz w:val="24"/>
          <w:szCs w:val="24"/>
        </w:rPr>
        <w:t xml:space="preserve">Las transacciones identificadas como inusuales, concluidas o no, ingresarán a un proceso de examen a fin de determinar si tienen o no un fundamento económico o legal aparente y, en su caso, si procede remitir el Reporte de Transacción Sospechosa (RTS) a la Superintendencia de Bancos a través de la IVE, por los mecanismos que esta ponga a disposición (artículos 29 y 30 del Decreto 15-2026).</w:t>
      </w:r>
    </w:p>
    <w:p w14:paraId="7A0E563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8EB1CFB" w14:textId="24E18093"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realizar el análisis, el Oficial de Cumplimiento se apoyará en las herramientas tecnológicas que tenga a su disposición en las cuales deberá registrar todos los análisis y gestiones que se hayan realizado para cada caso, así como la documentación adjunta de soporte. La herramienta que se utilice deberá garantizar la seguridad y confidencialidad de toda la información que se maneje para el monitoreo y las decisiones que se deriven.</w:t>
      </w:r>
    </w:p>
    <w:p w14:paraId="0EC381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36B6E" w14:textId="6C2D82AB" w:rsidR="0057078F"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El Oficial de Cumplimiento examinará las transacciones inusuales con prontitud, dentro de los plazos internos que establezca el Procedimiento de Reportes vigente. Concluido el examen, el Oficial de Cumplimiento, o su suplente, registrará en el expediente correspondiente un resumen de sus observaciones, así como las del funcionario o empleado que detectó la operación.</w:t>
      </w:r>
    </w:p>
    <w:p w14:paraId="7D4748EA" w14:textId="626D3998"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32C541A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4756FAD" w14:textId="326A749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Como consecuencia del examen efectuado, y con base en el Decreto 15-2026, su reglamentación y las disposiciones de la IVE, el Oficial de Cumplimiento calificará la transacción de la siguiente manera:</w:t>
      </w:r>
    </w:p>
    <w:p w14:paraId="384A13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EAF092" w14:textId="74CA7C71"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Si la transacción inusual carece de fundamento económico o legal evidente o si, a pesar de tener apariencia de legalidad, existen motivos razonables para sospechar que los fondos proceden o se destinan a una actividad delictiva o al financiamiento del terrorismo, se calificará como transacción sospechosa y se elaborará el Reporte de Transacción Sospechosa (RTS), que se remitirá con prontitud a la IVE utilizando los medios y formas que esta establezca y dentro de los plazos del Procedimiento de Reportes vigente.</w:t>
      </w:r>
    </w:p>
    <w:p w14:paraId="2C1BCE7B" w14:textId="413C926A"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Si la transacción tiene fundamento económico o legal aparente, se considerará una transacción normal y el caso se dará por cerrado, dejando constancia del examen.</w:t>
      </w:r>
    </w:p>
    <w:p w14:paraId="41CD1C6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75DA69F" w14:textId="176E94AB" w:rsidR="0057078F" w:rsidRPr="0057078F" w:rsidRDefault="0057078F" w:rsidP="00C36077">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ambos casos, se deberá dejar constancia de todos los análisis e información de soporte que justifica la acción a tomar en cada caso. Asimismo, se deberá agregar al expediente correspondiente una copia del formulario de notificación enviado a la Superintendencia de Bancos a través de la IVE.</w:t>
      </w:r>
    </w:p>
    <w:p w14:paraId="5AEBD8A3"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10A76EA"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3B0DD25" w14:textId="77777777" w:rsidR="001815AC" w:rsidRPr="0057078F" w:rsidRDefault="00000000" w:rsidP="0057078F">
      <w:pPr>
        <w:pStyle w:val="Heading2"/>
        <w:numPr>
          <w:ilvl w:val="0"/>
          <w:numId w:val="3"/>
        </w:numPr>
        <w:spacing w:line="276" w:lineRule="auto"/>
        <w:rPr>
          <w:rFonts w:cs="Calibri"/>
        </w:rPr>
      </w:pPr>
      <w:bookmarkStart w:id="1275" w:name="_Toc176997916"/>
      <w:bookmarkEnd w:id="1275"/>
      <w:r>
        <w:rPr>
          <w:rFonts w:cs="Calibri"/>
        </w:rPr>
        <w:t xml:space="preserve">REPORTE DE TRANSACCIÓN SOSPECHOSA (RTS) Y REPORTE DE TENTATIVA DE TRANSACCIÓN SOSPECHOSA</w:t>
      </w:r>
    </w:p>
    <w:p w14:paraId="7320BE9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A3D75A2" w14:textId="1A3452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76" w:name="_heading=h.vx1227" w:colFirst="0" w:colLast="0"/>
      <w:bookmarkEnd w:id="1276"/>
      <w:r>
        <w:rPr>
          <w:rFonts w:ascii="Calibri" w:eastAsia="Calibri" w:hAnsi="Calibri" w:cs="Calibri"/>
          <w:color w:val="1A1A1A"/>
          <w:sz w:val="24"/>
          <w:szCs w:val="24"/>
        </w:rPr>
        <w:t xml:space="preserve">El Reporte de Transacción Sospechosa se remite a nombre de Propi, de forma exclusiva y confidencial, y goza de garantía de confidencialidad (artículo 30 del Decreto 15-2026). El Oficial de Cumplimiento es el único autorizado para enviar los RTS a la IVE, utilizando exclusivamente los medios, procedimientos, condiciones y plazos establecidos por esta (artículo 33). Propi es responsable de que la información proporcionada sea completa y coincida con sus registros.</w:t>
      </w:r>
    </w:p>
    <w:p w14:paraId="32D6B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4D2F3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Dentro de la documentación a remitir junto con el Reporte de Transacción Sospechosa se incluye:</w:t>
      </w:r>
    </w:p>
    <w:p w14:paraId="1618F5EC"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Informe detallado de la operación.</w:t>
      </w:r>
    </w:p>
    <w:p w14:paraId="569F2757"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Los análisis efectuados por cada una de las áreas de la empresa involucradas en la operación con su respectiva conclusión.</w:t>
      </w:r>
    </w:p>
    <w:p w14:paraId="32B50ED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Demás documentación que se considere necesaria para facilitar la evaluación y análisis de los hechos, operaciones o actividades reportadas. </w:t>
      </w:r>
    </w:p>
    <w:p w14:paraId="67065C7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El perfil del cliente y declaración jurada.</w:t>
      </w:r>
    </w:p>
    <w:p w14:paraId="7A151FD5"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los productos y servicios que se prestan al cliente.</w:t>
      </w:r>
    </w:p>
    <w:p w14:paraId="177324D8"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Contratos del producto o servicio.</w:t>
      </w:r>
    </w:p>
    <w:p w14:paraId="37592CB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las medidas de debida diligencia aplicadas del cliente.</w:t>
      </w:r>
    </w:p>
    <w:p w14:paraId="73143AF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Documentos de respaldo de la transacción inusual determinada como sospechosa.</w:t>
      </w:r>
    </w:p>
    <w:p w14:paraId="6A263C0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7DA3BA6" w14:textId="1DABEE2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igual forma, procederá el Reporte de tentativa de transacción sospechosa cuando se tenga conocimiento de que una persona individual o jurídica, sea cliente o no, pretenda realizar una transacción inusual o no justificada que se infiera relacionada con el LD/FT/FPADM y que no se perfecciona porque quien intenta llevarla a cabo desiste de ella o porque los controles establecidos por Propi no permitieron o impidieron su realización. Estas situaciones se reportarán a la IVE como transacción sospechosa no concluida (tentativa), utilizando el formulario y los medios que esta defina (artículo 29 del Decreto 15-2026, transacción inusual «concluida o no»).</w:t>
      </w:r>
    </w:p>
    <w:p w14:paraId="6A2F3E5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77BD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Queda terminantemente prohibido revelar a terceros, incluido el cliente, que se ha remitido o comunicado un RTS, información, documentación, expedientes o registros a la IVE o a autoridad competente, o que se está examinando alguna transacción o realizándose alguna investigación; la prohibición subsiste aun después de que las personas hayan cesado en sus funciones (artículo 38 del Decreto 15-2026). Propi, sus directores, gerentes, funcionarios, oficiales de cumplimiento, representantes legales y empleados quedan exentos de responsabilidad legal por haber proporcionado de buena fe información a las autoridades competentes, incluida la comunicación de RTS (artículo 37).</w:t>
      </w:r>
    </w:p>
    <w:p w14:paraId="59AE3A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199AB6" w14:textId="77777777" w:rsidR="001815AC" w:rsidRPr="0057078F" w:rsidRDefault="00000000" w:rsidP="0057078F">
      <w:pPr>
        <w:pStyle w:val="Heading2"/>
        <w:numPr>
          <w:ilvl w:val="0"/>
          <w:numId w:val="3"/>
        </w:numPr>
        <w:spacing w:line="276" w:lineRule="auto"/>
        <w:rPr>
          <w:rFonts w:cs="Calibri"/>
        </w:rPr>
      </w:pPr>
      <w:bookmarkStart w:id="1289" w:name="_Toc176997917"/>
      <w:bookmarkEnd w:id="1289"/>
      <w:r>
        <w:rPr>
          <w:rFonts w:cs="Calibri"/>
        </w:rPr>
        <w:t xml:space="preserve">REGISTRO Y REPORTE DE TRANSACCIONES EN EFECTIVO Y OTROS REPORTES</w:t>
      </w:r>
    </w:p>
    <w:p w14:paraId="4D50DE55" w14:textId="77777777" w:rsidR="001815AC" w:rsidRPr="0057078F" w:rsidRDefault="001815AC" w:rsidP="0057078F">
      <w:pPr>
        <w:spacing w:line="276" w:lineRule="auto"/>
        <w:rPr>
          <w:rFonts w:ascii="Calibri" w:hAnsi="Calibri" w:cs="Calibri"/>
          <w:sz w:val="24"/>
          <w:szCs w:val="24"/>
        </w:rPr>
      </w:pPr>
    </w:p>
    <w:p w14:paraId="326E2EC8" w14:textId="12A70DC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llevará y mantendrá un registro diario de toda transacción en efectivo, sea única o estructurada, que reciba de sus clientes por un monto igual o mayor a diez mil dólares de los Estados Unidos de América (US$ 10,000.00) o su equivalente en moneda nacional o cualquier otra divisa, y remitirá a la IVE el reporte periódico de dichas transacciones (artículo 31 del Decreto 15-2026). Asimismo, remitirá los demás reportes, ocasionales o periódicos, que requiera la IVE, incluido el reporte mensual de operaciones inmobiliarias que corresponda a su sector y los reportes negativos o «sin movimiento» cuando esta los requiera (artículo 32), utilizando exclusivamente los medios y plazos que esta establezca (artículo 33).</w:t>
      </w:r>
    </w:p>
    <w:p w14:paraId="175521AF" w14:textId="23DCE8D4"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criterios para identificar transacciones individuales y múltiples en efectivo, los umbrales aplicables a transacciones por otros medios y los plazos de presentación de cada reporte se desarrollan en el Procedimiento de Reportes vigente, en concordancia con el Decreto 15-2026, su reglamentación y las disposiciones de la IVE.</w:t>
      </w:r>
    </w:p>
    <w:p w14:paraId="6870D97C" w14:textId="77777777" w:rsidR="001815AC" w:rsidRPr="0057078F" w:rsidRDefault="001815AC" w:rsidP="0057078F">
      <w:pPr>
        <w:pBdr>
          <w:top w:val="nil"/>
          <w:left w:val="nil"/>
          <w:bottom w:val="nil"/>
          <w:right w:val="nil"/>
          <w:between w:val="nil"/>
        </w:pBdr>
        <w:spacing w:after="0" w:line="276" w:lineRule="auto"/>
        <w:ind w:firstLine="720"/>
        <w:jc w:val="both"/>
        <w:rPr>
          <w:rFonts w:ascii="Calibri" w:eastAsia="Calibri" w:hAnsi="Calibri" w:cs="Calibri"/>
          <w:color w:val="1A1A1A"/>
          <w:sz w:val="24"/>
          <w:szCs w:val="24"/>
        </w:rPr>
      </w:pPr>
    </w:p>
    <w:p w14:paraId="4C544CCD" w14:textId="77777777" w:rsidR="001815AC" w:rsidRPr="0057078F" w:rsidRDefault="00000000" w:rsidP="0057078F">
      <w:pPr>
        <w:pStyle w:val="Heading2"/>
        <w:numPr>
          <w:ilvl w:val="1"/>
          <w:numId w:val="22"/>
        </w:numPr>
        <w:spacing w:line="276" w:lineRule="auto"/>
        <w:rPr>
          <w:rFonts w:cs="Calibri"/>
        </w:rPr>
      </w:pPr>
      <w:bookmarkStart w:id="1355" w:name="_Toc176997918"/>
      <w:r>
        <w:rPr>
          <w:rFonts w:cs="Calibri"/>
        </w:rPr>
        <w:t>ATENCIÓN DE REQUERIMIENTOS DE INFORMACIÓN</w:t>
      </w:r>
      <w:bookmarkEnd w:id="1355"/>
    </w:p>
    <w:p w14:paraId="59133DBF" w14:textId="650C6165"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recibirá las solicitudes de información que realice la Superintendencia de Bancos a través de la Intendencia de Verificación Especial.</w:t>
      </w:r>
    </w:p>
    <w:p>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queda sujeta a la supervisión y verificación de la Superintendencia de Bancos a través de la Intendencia de Verificación Especial (artículos 51 y 52 del Decreto 15-2026) y facilitará las visitas, inspecciones y requerimientos que esta realice.</w:t>
      </w:r>
    </w:p>
    <w:p w14:paraId="5234AA18" w14:textId="55AC6900"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información contenida en dichas solicitudes es de carácter confidencial y para uso exclusivo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por consiguiente, no se le debe comunicar a los clientes, ni entregarles copias en el caso de que éstos las soliciten. Nunca se debe dar a conocer a terceras personas o al cliente, esta información, para no violar la reserva de información.</w:t>
      </w:r>
    </w:p>
    <w:p w14:paraId="23142CEF" w14:textId="0E35CCD6" w:rsidR="001815AC" w:rsidRPr="0057078F" w:rsidRDefault="00000000" w:rsidP="0057078F">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En caso de que Propi no pudiera cumplir con el plazo establecido por la IVE para la entrega de información, documentación, expedientes o registros, el Oficial de Cumplimiento solicitará una prórroga por escrito, a más tardar dos (2) días antes del vencimiento del plazo original, explicando los motivos que la justifiquen (artículo 36 del Decreto 15-2026). Propi prestará su colaboración a la IVE proporcionando acceso inmediato y gratuito a sus fuentes, sistemas de información, registros y documentos, sin que pueda oponerse confidencialidad alguna (artículo 35).</w:t>
      </w:r>
    </w:p>
    <w:p>
      <w:pPr>
        <w:pStyle w:val="Heading2"/>
        <w:numPr>
          <w:ilvl w:val="1"/>
          <w:numId w:val="22"/>
        </w:numPr>
        <w:spacing w:line="276" w:lineRule="auto"/>
        <w:rPr>
          <w:rFonts w:cs="Calibri"/>
        </w:rPr>
      </w:pPr>
      <w:r>
        <w:rPr>
          <w:rFonts w:cs="Calibri"/>
        </w:rPr>
        <w:t xml:space="preserve">CUMPLIMIENTO DE LAS RESOLUCIONES DEL CONSEJO DE SEGURIDAD DE LAS NACIONES UNIDAS</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Propi controlará permanentemente y verificará si sus clientes, o quienes pretendan iniciar una relación de negocios, se encuentran designados en las listas de personas, entidades o grupos emitidas y mantenidas por el Consejo de Seguridad de las Naciones Unidas en virtud de las resoluciones S/RES/1267 (1999), 1988 (2011), 1989 (2011) y 2253 (2015), relativas al terrorismo; 1718 (2006), 1737 (2006) y 2231 (2015), relativas al financiamiento de la proliferación de armas de destrucción masiva; y 1373 (2001), y sus sucesivas (artículo 43 del Decreto 15-2026).</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De existir coincidencia con los nombres o datos de identificación de las referidas listas, Propi procederá de inmediato a limitar con efecto preventivo la disposición de los fondos o activos del cliente o controlados por este que se encuentren bajo su administración o a su cargo por cualquier motivo, así como sus frutos, y lo comunicará por escrito al Ministerio Público en un plazo que no excederá de veinticuatro (24) horas, adjuntando la documentación correspondiente. La medida se levantará únicamente al recibir notificación de juez competente que así lo ordene o cuando el Consejo de Seguridad revoque la designación (artículo 44).</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Está prohibido informar al cliente o a terceros sobre la coincidencia, la limitación preventiva o la comunicación al Ministerio Público. Propi y sus funcionarios quedan exentos de responsabilidad penal, civil o administrativa por haber aplicado la limitación con efecto preventivo conforme a la Ley (artículo 43). Propi remitirá a la IVE el reporte periódico sobre si detectó o no coincidencias, en la forma y plazo que esta establezca.</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El paso a paso operativo se desarrolla en el Procedimiento de inmovilización y reporte ante coincidencia en listas del Consejo de Seguridad de las Naciones Unidas, documento complementario de este Manual.</w:t>
      </w:r>
    </w:p>
    <w:p w14:paraId="580C9C06" w14:textId="77777777" w:rsidR="001815AC" w:rsidRPr="0057078F" w:rsidRDefault="00000000" w:rsidP="0057078F">
      <w:pPr>
        <w:pStyle w:val="Heading1"/>
        <w:spacing w:line="276" w:lineRule="auto"/>
        <w:rPr>
          <w:rFonts w:cs="Calibri"/>
        </w:rPr>
      </w:pPr>
      <w:bookmarkStart w:id="1378" w:name="_Toc176997919"/>
      <w:bookmarkEnd w:id="1378"/>
      <w:r>
        <w:rPr>
          <w:rFonts w:cs="Calibri"/>
        </w:rPr>
        <w:t xml:space="preserve">ENFOQUE BASADO EN RIESGO Y MATRIZ DE RIESGO</w:t>
      </w:r>
    </w:p>
    <w:p w14:paraId="76CA6BCA" w14:textId="77777777" w:rsidR="001815AC" w:rsidRPr="0057078F" w:rsidRDefault="001815AC" w:rsidP="0057078F">
      <w:pPr>
        <w:spacing w:line="276" w:lineRule="auto"/>
        <w:rPr>
          <w:rFonts w:ascii="Calibri" w:hAnsi="Calibri" w:cs="Calibri"/>
          <w:sz w:val="24"/>
          <w:szCs w:val="24"/>
        </w:rPr>
      </w:pPr>
    </w:p>
    <w:p w14:paraId="4E962DE0"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Propi administra su Riesgo LD/FT/FPADM mediante un proceso integral de identificación, evaluación y mitigación, proporcional a la naturaleza, volumen y complejidad de sus actividades, que le permite asignar sus recursos y establecer medidas idóneas conforme a los riesgos identificados. Dicho proceso, su metodología y sus actualizaciones son aprobados por el órgano de dirección superior y constan debidamente documentados (artículo 8 del Decreto 15-2026).</w:t>
      </w:r>
    </w:p>
    <w:p w14:paraId="726AD033" w14:textId="77777777" w:rsidR="001815AC" w:rsidRPr="0057078F" w:rsidRDefault="001815AC" w:rsidP="0057078F">
      <w:pPr>
        <w:spacing w:line="276" w:lineRule="auto"/>
        <w:jc w:val="both"/>
        <w:rPr>
          <w:rFonts w:ascii="Calibri" w:eastAsia="Calibri" w:hAnsi="Calibri" w:cs="Calibri"/>
          <w:sz w:val="24"/>
          <w:szCs w:val="24"/>
        </w:rPr>
      </w:pPr>
    </w:p>
    <w:p w14:paraId="06C22EF7"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El riesgo de LD/FT/FPADM se materializa a través de los riesgos asociados, estos son: el legal, reputacional, operativo y de contagio a los que se expone </w:t>
      </w:r>
      <w:r>
        <w:rPr>
          <w:rFonts w:ascii="Calibri" w:eastAsia="Calibri" w:hAnsi="Calibri" w:cs="Calibri"/>
          <w:b/>
          <w:sz w:val="24"/>
          <w:szCs w:val="24"/>
        </w:rPr>
        <w:t>Propi</w:t>
      </w:r>
      <w:r>
        <w:rPr>
          <w:rFonts w:ascii="Calibri" w:eastAsia="Calibri" w:hAnsi="Calibri" w:cs="Calibri"/>
          <w:sz w:val="24"/>
          <w:szCs w:val="24"/>
        </w:rPr>
        <w:t xml:space="preserve"> con el respectivo efecto económico negativo que puede representar para su estabilidad financiera cuando es utilizada para tales actividades.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Identificación del riesgo (artículo 9). Propi identifica el Riesgo LD/FT/FPADM al que está expuesta por sus actividades y modelo de negocio mediante una metodología que establece sus factores de riesgo, considerando como mínimo la base de clientes, la ubicación geográfica, los canales de distribución y los bienes, productos o servicios ofrecidos, e identifica las variables y eventos de riesgo en cada uno de esos factores.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Evaluación del riesgo (artículo 10). Propi evalúa periódicamente cómo el riesgo identificado le puede afectar, mediante una autoevaluación sobre el negocio en su conjunto y las evaluaciones particulares de la relación comercial con sus clientes, analizando la probabilidad de ocurrencia y el posible impacto, y considerando los resultados de las evaluaciones nacionales o sectoriales que le comunique la IVE.</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Mitigación del riesgo (artículo 11). Con base en el riesgo evaluado, Propi implementa las políticas, procedimientos, controles y sistemas de información que le permiten monitorear, informar y controlar su nivel de riesgo. Propi realizará el proceso de administración del riesgo previo al lanzamiento de nuevos bienes, productos o servicios y previo al uso o adopción de nuevas tecnologías o prácticas comerciales.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La matriz de riesgo consolidada de Propi, con sus segmentos (clientes, desarrolladoras, corredores externos, proveedores y empleados), variables y metodología de calificación (probabilidad, impacto, nivel de riesgo y frecuencia de monitoreo), se incorpora como Anexo de este Manual y se actualiza conforme a lo previsto en esta sección sin necesidad de modificar el cuerpo del Manual.</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Eventos de riesgo identificados por factor (artículo 9 del Decreto 15-2026), cuya calificación, controles y frecuencia de monitoreo constan en la matriz de riesgo consolidada:</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clientes: vinculación del cliente, de su beneficiario final o de la contraparte con actividades de LD/FT/FPADM; información falsa, inexacta o insuficiente proporcionada por el cliente; clientes PEP o comprendidos en las situaciones especiales del artículo 25.</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ubicación geográfica: clientes, fondos, beneficiarios finales o contrapartes vinculados a países o jurisdicciones de alto riesgo según el GAFI o sujetos a sanciones del Consejo de Seguridad de las Naciones Unidas.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canales de distribución y tecnología: relaciones y transacciones sin presencia física de las partes y uso de la plataforma tecnológica que favorezcan el anonimato; ciberataques que comprometan la integridad o confidencialidad de los expedientes y de la información de las transacciones.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bienes, productos y servicios: operaciones inmobiliarias de alto valor; pagos en efectivo o provenientes del exterior; adquisición de inmuebles por medio de estructuras jurídicas o interpósitas personas; modalidades de cobro por cuenta de terceros.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Eventos operativos del sistema de prevención: omisión o aplicación incompleta de la debida diligencia; análisis incorrecto por información errónea; monitoreo inadecuado o falta de información oportuna para decidir; incumplimiento de los plazos de reporte.</w:t>
      </w:r>
    </w:p>
    <w:p w14:paraId="62906590" w14:textId="77777777" w:rsidR="001815AC" w:rsidRPr="0057078F" w:rsidRDefault="001815AC" w:rsidP="0057078F">
      <w:pPr>
        <w:spacing w:line="276" w:lineRule="auto"/>
        <w:jc w:val="both"/>
        <w:rPr>
          <w:rFonts w:ascii="Calibri" w:eastAsia="Calibri" w:hAnsi="Calibri" w:cs="Calibri"/>
          <w:sz w:val="24"/>
          <w:szCs w:val="24"/>
        </w:rPr>
      </w:pPr>
    </w:p>
    <w:p w14:paraId="3D4BDE6C" w14:textId="77777777" w:rsidR="001815AC" w:rsidRPr="0057078F" w:rsidRDefault="001815AC" w:rsidP="0057078F">
      <w:pPr>
        <w:spacing w:line="276" w:lineRule="auto"/>
        <w:jc w:val="both"/>
        <w:rPr>
          <w:rFonts w:ascii="Calibri" w:eastAsia="Calibri" w:hAnsi="Calibri" w:cs="Calibri"/>
          <w:sz w:val="24"/>
          <w:szCs w:val="24"/>
        </w:rPr>
      </w:pPr>
    </w:p>
    <w:p w14:paraId="08A006A1"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01" w:name="_heading=h.4f1mdlm" w:colFirst="0" w:colLast="0"/>
      <w:bookmarkEnd w:id="1401"/>
    </w:p>
    <w:p w14:paraId="4F7DDC8B" w14:textId="77777777" w:rsidR="001815AC" w:rsidRPr="0057078F" w:rsidRDefault="001815AC" w:rsidP="0057078F">
      <w:pPr>
        <w:spacing w:line="276" w:lineRule="auto"/>
        <w:jc w:val="both"/>
        <w:rPr>
          <w:rFonts w:ascii="Calibri" w:eastAsia="Calibri" w:hAnsi="Calibri" w:cs="Calibri"/>
          <w:sz w:val="24"/>
          <w:szCs w:val="24"/>
        </w:rPr>
      </w:pPr>
    </w:p>
    <w:p w14:paraId="2A82A5A7" w14:textId="77777777" w:rsidR="001815AC" w:rsidRPr="0057078F" w:rsidRDefault="00000000" w:rsidP="0057078F">
      <w:pPr>
        <w:spacing w:after="0" w:line="276" w:lineRule="auto"/>
        <w:jc w:val="both"/>
        <w:rPr>
          <w:rFonts w:ascii="Calibri" w:eastAsia="Calibri" w:hAnsi="Calibri" w:cs="Calibri"/>
          <w:sz w:val="24"/>
          <w:szCs w:val="24"/>
        </w:rPr>
      </w:pPr>
      <w:r>
        <w:rPr>
          <w:rFonts w:ascii="Calibri" w:eastAsia="Calibri" w:hAnsi="Calibri" w:cs="Calibri"/>
          <w:sz w:val="24"/>
          <w:szCs w:val="24"/>
        </w:rPr>
        <w:t xml:space="preserve">De acuerdo con la colorimetría de la matriz, el plazo mínimo de monitoreo será:</w:t>
      </w:r>
    </w:p>
    <w:p w14:paraId="7119B362"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Rojo</w:t>
      </w:r>
      <w:r>
        <w:rPr>
          <w:rFonts w:ascii="Calibri" w:eastAsia="Calibri" w:hAnsi="Calibri" w:cs="Calibri"/>
          <w:color w:val="000000"/>
          <w:sz w:val="24"/>
          <w:szCs w:val="24"/>
        </w:rPr>
        <w:t>: al menos mensual</w:t>
      </w:r>
    </w:p>
    <w:p w14:paraId="0203ADE4"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Amarillo</w:t>
      </w:r>
      <w:r>
        <w:rPr>
          <w:rFonts w:ascii="Calibri" w:eastAsia="Calibri" w:hAnsi="Calibri" w:cs="Calibri"/>
          <w:color w:val="000000"/>
          <w:sz w:val="24"/>
          <w:szCs w:val="24"/>
        </w:rPr>
        <w:t>: al menos trimestral</w:t>
      </w:r>
    </w:p>
    <w:p w14:paraId="6232BDE5" w14:textId="77777777" w:rsidR="001815AC" w:rsidRPr="0057078F" w:rsidRDefault="00000000" w:rsidP="0057078F">
      <w:pPr>
        <w:numPr>
          <w:ilvl w:val="0"/>
          <w:numId w:val="21"/>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Verde</w:t>
      </w:r>
      <w:r>
        <w:rPr>
          <w:rFonts w:ascii="Calibri" w:eastAsia="Calibri" w:hAnsi="Calibri" w:cs="Calibri"/>
          <w:color w:val="000000"/>
          <w:sz w:val="24"/>
          <w:szCs w:val="24"/>
        </w:rPr>
        <w:t>: al menos semestral</w:t>
      </w:r>
    </w:p>
    <w:p>
      <w:pPr>
        <w:numPr>
          <w:ilvl w:val="0"/>
          <w:numId w:val="21"/>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 xml:space="preserve">[ESPACIO RESERVADO — ANEXO: MATRIZ DE RIESGO CONSOLIDADA. Se incorporará la matriz consolidada una vez revisada y aprobada.]</w:t>
      </w:r>
    </w:p>
    <w:p w14:paraId="4357CA44"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0" w:name="_heading=h.2u6wntf" w:colFirst="0" w:colLast="0"/>
      <w:bookmarkEnd w:id="1470"/>
    </w:p>
    <w:p w14:paraId="7242A2CE" w14:textId="77777777" w:rsidR="0057078F" w:rsidRPr="0057078F" w:rsidRDefault="0057078F" w:rsidP="0057078F">
      <w:pPr>
        <w:spacing w:line="276" w:lineRule="auto"/>
        <w:jc w:val="both"/>
        <w:rPr>
          <w:rFonts w:ascii="Calibri" w:eastAsia="Calibri" w:hAnsi="Calibri" w:cs="Calibri"/>
          <w:sz w:val="24"/>
          <w:szCs w:val="24"/>
        </w:rPr>
      </w:pPr>
    </w:p>
    <w:p w14:paraId="11FAAC37" w14:textId="6C00E923"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3" w:name="_heading=h.19c6y18" w:colFirst="0" w:colLast="0"/>
      <w:bookmarkEnd w:id="1473"/>
    </w:p>
    <w:p w14:paraId="466023ED" w14:textId="77777777" w:rsidR="001815AC" w:rsidRPr="0057078F" w:rsidRDefault="001815AC" w:rsidP="0057078F">
      <w:pPr>
        <w:spacing w:line="276" w:lineRule="auto"/>
        <w:jc w:val="both"/>
        <w:rPr>
          <w:rFonts w:ascii="Calibri" w:eastAsia="Calibri" w:hAnsi="Calibri" w:cs="Calibri"/>
          <w:sz w:val="24"/>
          <w:szCs w:val="24"/>
        </w:rPr>
      </w:pPr>
    </w:p>
    <w:p w14:paraId="714F0FD7" w14:textId="77777777" w:rsidR="001815AC" w:rsidRPr="0057078F" w:rsidRDefault="00000000" w:rsidP="0057078F">
      <w:pPr>
        <w:pStyle w:val="Heading1"/>
        <w:spacing w:line="276" w:lineRule="auto"/>
        <w:rPr>
          <w:rFonts w:cs="Calibri"/>
        </w:rPr>
      </w:pPr>
      <w:bookmarkStart w:id="1597" w:name="_Toc176997920"/>
      <w:r>
        <w:rPr>
          <w:rFonts w:cs="Calibri"/>
        </w:rPr>
        <w:t>POLÍTICA DE CONFIDENCIALIDAD</w:t>
      </w:r>
      <w:bookmarkEnd w:id="1597"/>
    </w:p>
    <w:p w14:paraId="011F95A8" w14:textId="232A09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598" w:name="_heading=h.28h4qwu" w:colFirst="0" w:colLast="0"/>
      <w:bookmarkEnd w:id="1598"/>
      <w:r>
        <w:rPr>
          <w:rFonts w:ascii="Calibri" w:eastAsia="Calibri" w:hAnsi="Calibri" w:cs="Calibri"/>
          <w:color w:val="1A1A1A"/>
          <w:sz w:val="24"/>
          <w:szCs w:val="24"/>
        </w:rPr>
        <w:t xml:space="preserve">La información obtenida en la ejecución de los procedimientos y prácticas que conforman el Manual de cumplimiento del Sistema Integral de Prevención contra el LD/FT/FPADM es confidencial, lo cual significa que ésta sólo podrá darse a conocer a las autoridades competentes, previo requerimiento. </w:t>
      </w:r>
    </w:p>
    <w:p w14:paraId="33BD0CB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69ED67F" w14:textId="2D7E438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Por lo tanto, todos los empleados que tienen responsabilidades asignadas por el presente Manual de cumplimiento y los procedimientos que de él se deriven, están en la obligación de custodiar y limitar el uso de esta a los fines estrictamente establecidos.</w:t>
      </w:r>
    </w:p>
    <w:p w14:paraId="4697CD0C"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8A20DAA"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Dada la naturaleza de la información que se maneja, se debe considerar la sensibilidad de los datos que residen en los sistemas de información para el debido control y acceso; la pérdida o mal uso de esta información puede resultar en una variedad de daños, tales como pérdida de confidencialidad e incumplimiento de regulaciones y leyes aplicables a la empresa.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identidad y la información personal del Oficial de Cumplimiento y de las personas que laboren bajo su dirección son confidenciales (artículo 19 del Decreto 15-2026). Queda prohibido a Propi, sus directores, gerentes, administradores, funcionarios, oficiales de cumplimiento, representantes legales y empleados revelar a terceros que se ha remitido un RTS o información a la IVE o a autoridad competente, o que se examina alguna transacción o se realiza alguna investigación; la prohibición subsiste después del cese en las funciones (artículo 38).</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confidencialidad establecida en este Manual no podrá oponerse a los requerimientos de información de la Superintendencia de Bancos a través de la IVE ni de las autoridades competentes (artículo 35 del Decreto 15-2026).</w:t>
      </w:r>
    </w:p>
    <w:p w14:paraId="0BF31777" w14:textId="77777777" w:rsidR="001815AC" w:rsidRPr="0057078F" w:rsidRDefault="00000000" w:rsidP="0057078F">
      <w:pPr>
        <w:pStyle w:val="Heading1"/>
        <w:spacing w:line="276" w:lineRule="auto"/>
        <w:rPr>
          <w:rFonts w:cs="Calibri"/>
        </w:rPr>
      </w:pPr>
      <w:bookmarkStart w:id="1602" w:name="_Toc176997921"/>
      <w:r>
        <w:rPr>
          <w:rFonts w:cs="Calibri"/>
        </w:rPr>
        <w:t xml:space="preserve">POLÍTICAS PARA ARCHIVO Y CONSERVACIÓN DE DOCUMENTOS</w:t>
      </w:r>
      <w:bookmarkEnd w:id="1602"/>
    </w:p>
    <w:p w14:paraId="07D7E881" w14:textId="0F5C309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03" w:name="_heading=h.37m2jsg" w:colFirst="0" w:colLast="0"/>
      <w:bookmarkEnd w:id="1603"/>
      <w:r>
        <w:rPr>
          <w:rFonts w:ascii="Calibri" w:eastAsia="Calibri" w:hAnsi="Calibri" w:cs="Calibri"/>
          <w:color w:val="1A1A1A"/>
          <w:sz w:val="24"/>
          <w:szCs w:val="24"/>
        </w:rPr>
        <w:t xml:space="preserve">De conformidad con el artículo 34 del Decreto 15-2026, que establece un plazo mínimo de conservación de cinco (5) años, Propi adopta como política propia resguardar los documentos del cliente en un expediente único por un período de al menos quince (15) años, contado desde la finalización de la relación de negocios, la cual se entiende concluida con el pago de la última comisión a la Sociedad. El expediente único estará conformado con la documentación establecida en la Política de Conocimiento del Cliente y en la Política de Identificación y Verificación del Beneficiario Final.</w:t>
      </w:r>
    </w:p>
    <w:p w14:paraId="00FF602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0186FF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seguridad para los depósitos de Archivo comprende lo referente a su accesibilidad para evitar adulteraciones o robos y la seguridad física de la documentación. </w:t>
      </w:r>
    </w:p>
    <w:p w14:paraId="1C87457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8D231E" w14:textId="506F10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mantendrá, por un período no menor de quince (15) años, a través de medios impresos, digitales o electrónicos que garanticen su integridad, correcta lectura, inalterabilidad, adecuada conservación y fácil localización, toda la documentación que ampara las operaciones o transacciones realizadas con los clientes, así como la correspondencia comercial, los expedientes y los resultados de los análisis o exámenes realizados; dichos registros deben ser suficientes para permitir la reconstrucción íntegra de cada operación y atender los requerimientos de las autoridades competentes (artículo 34 del Decreto 15-2026).</w:t>
      </w:r>
    </w:p>
    <w:p w14:paraId="575E92F6"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A134861" w14:textId="3D62415C"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En caso de que en algún momento Propi, a través del Oficial de Cumplimiento, decida realizar la destrucción de registros cuyo plazo de conservación haya vencido, el Oficial de Cumplimiento lo informará a la Superintendencia de Bancos, a través de la Intendencia de Verificación Especial, con por lo menos dos (2) meses de anticipación a la fecha prevista, mientras la reglamentación del Decreto 15-2026 o la IVE no dispongan otra forma o plazo, y conservará copia del informe en sus registros. Este informe deberá contener, como mínimo, la siguiente información:</w:t>
      </w:r>
    </w:p>
    <w:p w14:paraId="40CC720D"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7E403B21"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1636" w:name="_Hlk176993378"/>
      <w:r>
        <w:rPr>
          <w:rFonts w:ascii="Calibri" w:eastAsia="Calibri" w:hAnsi="Calibri" w:cs="Calibri"/>
          <w:color w:val="1A1A1A"/>
          <w:sz w:val="24"/>
          <w:szCs w:val="24"/>
          <w:lang w:val="es-ES"/>
        </w:rPr>
        <w:t>Nombre completo o razón social del cliente cuyo Registro será descartado.</w:t>
      </w:r>
    </w:p>
    <w:p w14:paraId="01295C1A"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Motivo por el que se realizará la destrucción.</w:t>
      </w:r>
    </w:p>
    <w:p w14:paraId="2ABEEF58"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Fecha prevista de la destrucción del registro.</w:t>
      </w:r>
    </w:p>
    <w:bookmarkEnd w:id="1636"/>
    <w:p w14:paraId="3AA1B48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4DE808E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588EB8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La información sobre el cliente y las transacciones deberá estar disponible cuando lo requieran las autoridades competentes en debida forma.</w:t>
      </w:r>
    </w:p>
    <w:p w14:paraId="00C135CD" w14:textId="77777777" w:rsidR="001815AC" w:rsidRPr="0057078F" w:rsidRDefault="00000000" w:rsidP="0057078F">
      <w:pPr>
        <w:pStyle w:val="Heading1"/>
        <w:spacing w:line="276" w:lineRule="auto"/>
        <w:rPr>
          <w:rFonts w:cs="Calibri"/>
        </w:rPr>
      </w:pPr>
      <w:bookmarkStart w:id="1645" w:name="_Toc176997922"/>
      <w:r>
        <w:rPr>
          <w:rFonts w:cs="Calibri"/>
        </w:rPr>
        <w:t xml:space="preserve">POLÍTICAS PARA LA CAPACITACIÓN</w:t>
      </w:r>
      <w:bookmarkEnd w:id="1645"/>
      <w:r>
        <w:rPr>
          <w:rFonts w:cs="Calibri"/>
        </w:rPr>
        <w:t xml:space="preserve"> </w:t>
      </w:r>
    </w:p>
    <w:p w14:paraId="0F39A81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47" w:name="_heading=h.o808db21l6u" w:colFirst="0" w:colLast="0"/>
      <w:bookmarkEnd w:id="1647"/>
      <w:r>
        <w:rPr>
          <w:rFonts w:ascii="Calibri" w:eastAsia="Calibri" w:hAnsi="Calibri" w:cs="Calibri"/>
          <w:color w:val="1A1A1A"/>
          <w:sz w:val="24"/>
          <w:szCs w:val="24"/>
        </w:rPr>
        <w:t xml:space="preserve">La capacitación constituye uno de los elementos fundamentales del Sistema Integral de Prevención Contra el LD/FT/FPADM, pues es necesario crear y fomentar una cultura de prevención en todo el personal. Por lo cual se establecen las siguientes políticas.</w:t>
      </w:r>
    </w:p>
    <w:p w14:paraId="4C1EE4C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1E05C" w14:textId="14E9F2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Cada año, el Oficial de Cumplimiento deberá diseñar y someter a aprobación del órgano de dirección superior un Plan de Capacitación Anual, de ejecución continua, para el personal, directores, agentes, corredores, intermediarios y demás colaboradores de Propi cuyo puesto o cargo requiera comprender el Riesgo LD/FT/FPADM, en función de sus responsabilidades (artículo 12, literal b, del Decreto 15-2026). El plan incluirá toda la temática de prevención y control de los riesgos de LD/FT/FPADM y servirá de apoyo para identificar situaciones inusuales o sospechosas en el manejo de las operaciones.</w:t>
      </w:r>
    </w:p>
    <w:p w14:paraId="2738E74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D0D5350"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CAPACITACIÓN ANUAL</w:t>
      </w:r>
    </w:p>
    <w:p w14:paraId="1342155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contenido de la capacitación debe cubrir, entre otros, los siguientes temas fundamentales, enfocando los mismos dependiendo de las características del grupo objetivo de la misma:</w:t>
      </w:r>
    </w:p>
    <w:p w14:paraId="6938A03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672503"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Sensibilización en la cultura corporativa a la prevención de LD/FT/FPADM;</w:t>
      </w:r>
    </w:p>
    <w:p w14:paraId="5C03C56C"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Normas legales y conceptos fundamentales de LD/FT/FPADM,</w:t>
      </w:r>
    </w:p>
    <w:p w14:paraId="17B99834"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Estructura organizacional y de control de la Persona Obligada para la prevención de LD/FT/FPADM,</w:t>
      </w:r>
    </w:p>
    <w:p w14:paraId="4610BFCF"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 los clientes, contrapartes y del mercado;</w:t>
      </w:r>
    </w:p>
    <w:p w14:paraId="0B9B358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Aplicación de las políticas y procedimientos para la prevención del LD/FT/FPADM;</w:t>
      </w:r>
    </w:p>
    <w:p w14:paraId="5C6140E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 de señales de alerta de LD/FT/FPADM;</w:t>
      </w:r>
    </w:p>
    <w:p w14:paraId="1A03B4F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Detección de transacciones inusuales y reporte de transacciones sospechosas;</w:t>
      </w:r>
    </w:p>
    <w:p w14:paraId="1B4303F0"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Administración de la información, y</w:t>
      </w:r>
    </w:p>
    <w:p w14:paraId="74FAC03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del empleado.</w:t>
      </w:r>
    </w:p>
    <w:p w14:paraId="52ADCAE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4D4180" w14:textId="6399866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capacitación al personal contratado y subcontratado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realizarse de forma externa, asistiendo a eventos formativos o contratando facilitadores expertos en la materia, ya </w:t>
        <w:lastRenderedPageBreak/>
        <w:t xml:space="preserve">sea que esta se lleve a cabo de forma presencial o virtual. También podrá realizarse de forma interna brindándola el Oficial de Cumplimiento. En todo caso, se buscará recibir formación de calidad, con contenidos actualizados y con la finalidad de que el personal obtenga los conocimientos necesarios para prevenir el LD/FT/FPADM en </w:t>
      </w:r>
      <w:r>
        <w:rPr>
          <w:rFonts w:ascii="Calibri" w:eastAsia="Calibri" w:hAnsi="Calibri" w:cs="Calibri"/>
          <w:b/>
          <w:color w:val="1A1A1A"/>
          <w:sz w:val="24"/>
          <w:szCs w:val="24"/>
        </w:rPr>
        <w:t>Propi</w:t>
      </w:r>
      <w:r>
        <w:rPr>
          <w:rFonts w:ascii="Calibri" w:eastAsia="Calibri" w:hAnsi="Calibri" w:cs="Calibri"/>
          <w:color w:val="1A1A1A"/>
          <w:sz w:val="24"/>
          <w:szCs w:val="24"/>
        </w:rPr>
        <w:t>.</w:t>
      </w:r>
    </w:p>
    <w:p w14:paraId="2BA89B5E"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ED6BFF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Toda capacitación facilitada al personal deberá quedar documentada en un expediente, ya sea este de manera física o digital que incluya el material compartido, los diplomas de participación o las listas de participación del personal debidamente firmadas “LISTA DE ASISTENCIA DE CAPACITACIÓN” (formato incluido en el Anexo de documentos del Sistema). Las listas de asistencia deberán contener: lugar y fecha del evento, nombre y firma del facilitador, nombre de la capacitación, nombre del empleado, cargo y firma.</w:t>
      </w:r>
    </w:p>
    <w:p w14:paraId="6F8E3E5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FB705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Luego de concluir con su proceso de capacitación anual el personal de Propi deberá someterse a una prueba de conocimientos que se realizará de manera electrónica, como mecanismo idóneo para verificar que ha adquirido las competencias según su puesto o cargo (artículo 12, literal b, del Decreto 15-2026). Del resultado de esta deberá guardarse respaldo físico y digital.</w:t>
      </w:r>
    </w:p>
    <w:p w14:paraId="4F12A64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981F3B9"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 xml:space="preserve">INDUCCIÓN </w:t>
      </w:r>
    </w:p>
    <w:p w14:paraId="296FB256" w14:textId="1E5795A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Todo el personal de nuevo ingreso, contratado o subcontratado, deberá recibir la inducción sobre prevención de LD/FT/FPADM durante los 30 días posteriores a su ingreso. El área de recursos humanos o su equivalente, en coordinación con el Oficial de Cumplimiento, son los encargados de programar la inducción a los empleados y personal subcontratado. </w:t>
      </w:r>
    </w:p>
    <w:p w14:paraId="3D19549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FCE623F"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En el proceso de inducción al personal de nuevo ingreso, se debe cumplir con los siguientes aspectos:</w:t>
      </w:r>
    </w:p>
    <w:p w14:paraId="7B9BD25D"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Presentación de generalidades y consecuencias de los delitos de LD/FT/FPADM y sensibilización de la cultura de prevención de estos.</w:t>
      </w:r>
    </w:p>
    <w:p w14:paraId="23E244EE"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 de las políticas y procedimientos para la prevención, control, detección de transacciones inusuales.</w:t>
      </w:r>
    </w:p>
    <w:p w14:paraId="3A7B1DC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032216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facilitar la capacitación, se podrán utilizar los diversos recursos visuales, audiovisuales, electrónicos, etc., que se tengan al alcance. </w:t>
      </w:r>
    </w:p>
    <w:p w14:paraId="12452698"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392D0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Toda capacitación facilitada al personal de nuevo ingreso deberá quedar documentada en un expediente, ya sea este de manera física o digital que incluya el material compartido, los diplomas de participación o las listas de participación del personal debidamente firmadas “LISTA DE ASISTENCIA DE CAPACITACIÓN” (formato incluido en el Anexo de documentos del Sistema). Las listas de asistencia deberán contener: lugar y fecha del evento, nombre y firma del facilitador, nombre de la capacitación, nombre del empleado, cargo y firma.</w:t>
      </w:r>
    </w:p>
    <w:p w14:paraId="046DAC2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81955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Luego de finalizado el proceso de inducción el nuevo personal deberá someterse a una prueba de conocimientos, de las políticas y procedimientos para la prevención, control, detección de transacciones inusuales. Del resultado de esta deberá guardarse respaldo físico y digital.</w:t>
      </w:r>
    </w:p>
    <w:p w14:paraId="304A6FF0" w14:textId="77777777" w:rsidR="001815AC" w:rsidRPr="0057078F" w:rsidRDefault="00000000" w:rsidP="0057078F">
      <w:pPr>
        <w:pStyle w:val="Heading1"/>
        <w:spacing w:line="276" w:lineRule="auto"/>
        <w:rPr>
          <w:rFonts w:cs="Calibri"/>
        </w:rPr>
      </w:pPr>
      <w:bookmarkStart w:id="1657" w:name="_Toc176997923"/>
      <w:r>
        <w:rPr>
          <w:rFonts w:cs="Calibri"/>
        </w:rPr>
        <w:t>ÓRGANOS DE CONTROL</w:t>
      </w:r>
      <w:bookmarkEnd w:id="1657"/>
    </w:p>
    <w:p w14:paraId="32B51B69" w14:textId="77777777" w:rsidR="001815AC" w:rsidRPr="0057078F" w:rsidRDefault="00000000" w:rsidP="0057078F">
      <w:pPr>
        <w:pStyle w:val="Heading2"/>
        <w:numPr>
          <w:ilvl w:val="1"/>
          <w:numId w:val="16"/>
        </w:numPr>
        <w:spacing w:line="276" w:lineRule="auto"/>
        <w:rPr>
          <w:rFonts w:cs="Calibri"/>
        </w:rPr>
      </w:pPr>
      <w:bookmarkStart w:id="1658" w:name="_Toc176997924"/>
      <w:r>
        <w:rPr>
          <w:rFonts w:cs="Calibri"/>
        </w:rPr>
        <w:t>AUDITORÍA INTERNA</w:t>
      </w:r>
      <w:bookmarkEnd w:id="1658"/>
    </w:p>
    <w:p w14:paraId="1BC2023B" w14:textId="74DE1756" w:rsidR="0057078F"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auditoría interna, o quien ejecute funciones similares dentro de Propi, deberá elaborar y ejecutar anualmente un programa de revisión interna del Programa de Prevención LD/FT/FPADM, en el cual se evaluará el cumplimiento y la efectividad de la ejecución de las políticas y procedimientos establecidos en el presente Manual, en sus documentos complementarios y en la regulación vigente (artículo 15 del Decreto 15-2026).</w:t>
      </w:r>
    </w:p>
    <w:p w14:paraId="5C3E6FF1" w14:textId="12DB83C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bookmarkStart w:id="1662" w:name="_heading=h.1opuj5n" w:colFirst="0" w:colLast="0"/>
      <w:bookmarkEnd w:id="1662"/>
      <w:r>
        <w:rPr>
          <w:rFonts w:ascii="Calibri" w:eastAsia="Calibri" w:hAnsi="Calibri" w:cs="Calibri"/>
          <w:color w:val="1A1A1A"/>
          <w:sz w:val="24"/>
          <w:szCs w:val="24"/>
        </w:rPr>
        <w:t xml:space="preserve">Se deberá emitir opinión respecto de la idoneidad y el funcionamiento de las políticas y procedimientos adoptados para prevenir los delitos de LD/FT/FPADM indicando las deficiencias u omisiones materialmente significativas, las recomendaciones impartidas para superarlas y las medidas correctivas adoptadas. El resultado de la revisión deberá comunicarse al Oficial de Cumplimiento para su debido seguimiento.</w:t>
      </w:r>
    </w:p>
    <w:p w14:paraId="6259606B" w14:textId="77777777" w:rsidR="001815AC" w:rsidRPr="0057078F" w:rsidRDefault="00000000" w:rsidP="0057078F">
      <w:pPr>
        <w:pStyle w:val="Heading2"/>
        <w:numPr>
          <w:ilvl w:val="1"/>
          <w:numId w:val="16"/>
        </w:numPr>
        <w:spacing w:line="276" w:lineRule="auto"/>
        <w:rPr>
          <w:rFonts w:cs="Calibri"/>
        </w:rPr>
      </w:pPr>
      <w:bookmarkStart w:id="1667" w:name="_Toc176997925"/>
      <w:r>
        <w:rPr>
          <w:rFonts w:cs="Calibri"/>
        </w:rPr>
        <w:t xml:space="preserve">AUDITORÍA EXTERNA</w:t>
      </w:r>
      <w:bookmarkEnd w:id="1667"/>
    </w:p>
    <w:p w14:paraId="19D4C9FB" w14:textId="4F63F037" w:rsidR="001815AC" w:rsidRPr="0057078F" w:rsidRDefault="0057078F" w:rsidP="0057078F">
      <w:pPr>
        <w:spacing w:before="4" w:line="276" w:lineRule="auto"/>
        <w:ind w:right="140"/>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Sin perjuicio de que el informe de aseguramiento de auditoría externa es obligatorio únicamente para las entidades sujetas a la vigilancia e inspección de la Superintendencia de Bancos, Propi, como práctica propia, podrá contratar una auditoría externa anual o a auditores especializados de su elección para evaluar el cumplimiento y la efectividad de sus Programas de Prevención LD/FT/FPADM (artículo 15 del Decreto 15-2026). El Oficial de Cumplimiento será responsable de coordinar dicha evaluación y de dar seguimiento a sus recomendaciones.</w:t>
      </w:r>
    </w:p>
    <w:p w14:paraId="1355653F" w14:textId="77777777" w:rsidR="001815AC" w:rsidRPr="0057078F" w:rsidRDefault="00000000" w:rsidP="0057078F">
      <w:pPr>
        <w:pStyle w:val="Heading1"/>
        <w:spacing w:line="276" w:lineRule="auto"/>
        <w:rPr>
          <w:rFonts w:cs="Calibri"/>
        </w:rPr>
      </w:pPr>
      <w:bookmarkStart w:id="1676" w:name="_Toc176997926"/>
      <w:r>
        <w:rPr>
          <w:rFonts w:cs="Calibri"/>
        </w:rPr>
        <w:lastRenderedPageBreak/>
        <w:t>SANCIONES</w:t>
      </w:r>
      <w:bookmarkEnd w:id="1676"/>
      <w:r>
        <w:rPr>
          <w:rFonts w:cs="Calibri"/>
        </w:rPr>
        <w:t xml:space="preserve"> </w:t>
      </w:r>
    </w:p>
    <w:p w14:paraId="4E19EB2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77" w:name="_heading=h.206ipza" w:colFirst="0" w:colLast="0"/>
      <w:bookmarkEnd w:id="1677"/>
      <w:r>
        <w:rPr>
          <w:rFonts w:ascii="Calibri" w:eastAsia="Calibri" w:hAnsi="Calibri" w:cs="Calibri"/>
          <w:color w:val="1A1A1A"/>
          <w:sz w:val="24"/>
          <w:szCs w:val="24"/>
        </w:rPr>
        <w:t xml:space="preserve">Los funcionarios o empleados que incurran en conductas de incumplimiento o violación a obligaciones y/o prohibiciones contenidas en el presente Manual y demás normativa, se harán acreedores a las siguientes sanciones de acuerdo con la gravedad del caso: </w:t>
      </w:r>
    </w:p>
    <w:p w14:paraId="535F9CD3"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a) Amonestación verbal. Esta será aplicable por la falta de cumplimiento, el cumplimiento parcial o extemporáneo de cualquiera de las responsabilidades establecidas en el presente Manual, políticas o procedimientos.</w:t>
      </w:r>
    </w:p>
    <w:p w14:paraId="16101A14"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b) Amonestación escrita. Esta será aplicable luego de tres amonestaciones verbales. </w:t>
      </w:r>
    </w:p>
    <w:p w14:paraId="02C5396D"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c) Suspensión. Esta será aplicable por la reincidencia de amonestaciones escritas.</w:t>
      </w:r>
    </w:p>
    <w:p w14:paraId="6338BB00" w14:textId="62B84EA5"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d) Terminación del contrato individual de trabajo. Esta será aplicable cuando la falta de cumplimiento sea considerada muy grave o cuando, luego de una suspensión, el empleado reincida en los incumplimientos, conforme al Reglamento Interno de Trabajo y al Código de Trabajo, previa recomendación del Oficial de Cumplimiento.</w:t>
      </w:r>
    </w:p>
    <w:p w14:paraId="69E65597" w14:textId="77777777" w:rsidR="0057078F" w:rsidRPr="0057078F" w:rsidRDefault="0057078F"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p>
    <w:p w14:paraId="126AD5E2" w14:textId="77777777"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La terminación del contrato individual de trabajo por incumplimiento de las presentes obligaciones, opera sin perjuicio de las acciones penales y civiles que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pueda iniciar, amparándose en la causal respectiva.</w:t>
      </w:r>
    </w:p>
    <w:p>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El régimen disciplinario aplicable al personal se rige por el Reglamento Interno de Trabajo de Propi, el cual desarrolla las obligaciones laborales en materia de prevención del LD/FT/FPADM. Sin perjuicio de lo anterior, el incumplimiento de las obligaciones del Decreto 15-2026 expone a la Sociedad a las sanciones administrativas previstas en sus artículos 65 al 72 (amonestación o multa de US$ 500.00 a US$ 300,000.00, agravada en caso de ocultamiento, y requerimiento de planes de acción), sin perjuicio de las responsabilidades penales y civiles correspondientes.</w:t>
      </w:r>
    </w:p>
    <w:p w14:paraId="279BF248" w14:textId="77777777" w:rsidR="001815AC" w:rsidRPr="0057078F" w:rsidRDefault="00000000" w:rsidP="0057078F">
      <w:pPr>
        <w:pStyle w:val="Heading1"/>
        <w:spacing w:line="276" w:lineRule="auto"/>
        <w:rPr>
          <w:rFonts w:cs="Calibri"/>
        </w:rPr>
      </w:pPr>
      <w:bookmarkStart w:id="1682" w:name="_Toc176997927"/>
      <w:r>
        <w:rPr>
          <w:rFonts w:cs="Calibri"/>
        </w:rPr>
        <w:t>DIVULGACIÓN</w:t>
      </w:r>
      <w:bookmarkEnd w:id="1682"/>
    </w:p>
    <w:p w14:paraId="24AA69F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8AF9F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o sus modificaciones se darán a conocer a todos los funcionarios, empleados, directores, agentes, corredores e intermediarios de Propi, quienes firmarán constancia de su conocimiento, de igual forma, se pondrá a disposición de las personas antes mencionadas para cuando deseen consultarlo. </w:t>
      </w:r>
    </w:p>
    <w:p w14:paraId="448757AE" w14:textId="77777777" w:rsidR="001815AC" w:rsidRPr="0057078F" w:rsidRDefault="00000000" w:rsidP="0057078F">
      <w:pPr>
        <w:pStyle w:val="Heading1"/>
        <w:spacing w:line="276" w:lineRule="auto"/>
        <w:rPr>
          <w:rFonts w:cs="Calibri"/>
        </w:rPr>
      </w:pPr>
      <w:bookmarkStart w:id="1683" w:name="_Toc176997928"/>
      <w:r>
        <w:rPr>
          <w:rFonts w:cs="Calibri"/>
        </w:rPr>
        <w:t>VIGENCIA Y MODIFICACIONES</w:t>
      </w:r>
      <w:bookmarkEnd w:id="1683"/>
      <w:r>
        <w:rPr>
          <w:rFonts w:cs="Calibri"/>
        </w:rPr>
        <w:t xml:space="preserve"> </w:t>
      </w:r>
    </w:p>
    <w:p w14:paraId="173B880E" w14:textId="7BA3DEE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entrará en vigor a partir de la fecha de su aprobación por el órgano de dirección superior de Propi. Su contenido será revisado como mínimo cada año a partir de dicha fecha, así como cuando existan cambios relevantes en el modelo operativo o de negocios, cuando se emita el Reglamento del Decreto 15-2026 o disposiciones de la Superintendencia de Bancos a través de la IVE que lo hagan necesario y, en general, ante cualquier modificación de la regulación en materia de prevención del LD/FT/FPADM.</w:t>
      </w:r>
    </w:p>
    <w:p w14:paraId="61DF2C6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B6F815" w14:textId="4C84C5E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será responsable de la custodia del documento original y de su administración, y estará facultado para proponer cambios, modificaciones y actualizaciones, las cuales deberán ser aprobadas por el órgano de dirección superior (artículo 12 del Decreto 15-2026). Las políticas, procedimientos, formatos y demás documentos complementarios que integran el Sistema de Prevención son documentos independientes: el Oficial de Cumplimiento propondrá su emisión y actualización; las políticas y la matriz de riesgo consolidada con su metodología serán aprobadas por el órgano de dirección superior, y los procedimientos, manuales de procedimiento operativo y formatos por el Oficial de Cumplimiento con el visto bueno de la gerencia general, sin que ello requiera modificar este Manual, siempre que no lo contradigan; en caso de conflicto prevalece el Manual. La divulgación de este Manual y de sus documentos complementarios al personal será responsabilidad del Oficial de Cumplimiento en coordinación con Recursos Humanos, o quien ejecute funciones similares. El Oficial de Cumplimiento remitirá a la Superintendencia de Bancos, a través de la Intendencia de Verificación Especial, por el Portal de Personas Obligadas, el presente Manual aprobado y cada una de sus actualizaciones, a más tardar dentro del mes calendario siguiente a su aprobación, salvo que la reglamentación del Decreto 15-2026 o la IVE dispongan una forma o plazo distintos.</w:t>
      </w:r>
    </w:p>
    <w:p w14:paraId="7F562D0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CB9C50" w14:textId="78E39C6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94" w:name="_heading=h.3ygebqi" w:colFirst="0" w:colLast="0"/>
      <w:bookmarkEnd w:id="1694"/>
      <w:r>
        <w:rPr>
          <w:rFonts w:ascii="Calibri" w:eastAsia="Calibri" w:hAnsi="Calibri" w:cs="Calibri"/>
          <w:color w:val="1A1A1A"/>
          <w:sz w:val="24"/>
          <w:szCs w:val="24"/>
        </w:rPr>
        <w:t xml:space="preserve">Fecha de autorización: ____/____/______</w:t>
      </w:r>
    </w:p>
    <w:p w14:paraId="6C5AEF20"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5125B20" w14:textId="77777777" w:rsidR="00AD6888" w:rsidRDefault="00AD6888"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07911B3"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D38750A" w14:textId="0DC317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Firma: ______________________</w:t>
      </w:r>
    </w:p>
    <w:p w14:paraId="24CB4C9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Nombre y cargo: ______________________________</w:t>
      </w:r>
    </w:p>
    <w:p>
      <w:pPr>
        <w:pStyle w:val="Heading1"/>
        <w:spacing w:line="276" w:lineRule="auto"/>
        <w:rPr>
          <w:rFonts w:cs="Calibri"/>
        </w:rPr>
      </w:pPr>
      <w:r>
        <w:rPr>
          <w:rFonts w:cs="Calibri"/>
        </w:rPr>
        <w:t xml:space="preserve">ANEXO — DOCUMENTOS QUE INTEGRAN EL SISTEMA DE PREVENCIÓN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siguientes documentos desarrollan este Manual, son independientes de él y se aplican en su versión vigente. Las políticas y la matriz de riesgo consolidada con su metodología son aprobadas por el órgano de dirección superior (artículos 8 y 12 del Decreto 15-2026); los procedimientos, manuales de procedimiento operativo y formatos, por el Oficial de Cumplimiento con el visto bueno de la gerencia general. En ningún caso pueden contradecir lo dispuesto en este Manual, el cual prevalece; toda contradicción se resolverá a favor del Manual y dará lugar a la corrección inmediata del documento complementario.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 Política de Identificación y Verificación del Beneficiario Final.</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2. Política de Personas Expuestas Políticamente, incluida la debida diligencia para clientes PEP y sus personas vinculadas.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3. Política de Conocimiento del Cliente (KYC), incluidas la debida diligencia simplificada y la estándar, la documentación mínima por tipo de cliente y los parámetros de valor y perfil para la asignación del nivel de diligencia.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4. Política de Debida Diligencia Reforzada (EDD).</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5. Política de Conocimiento de Proveedores, incluida la documentación mínima por tipo de proveedor y los umbrales de compra única.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6. Matriz de riesgo consolidada y su metodología (Anexo de este Manual; aprobación reservada al órgano de dirección superior).</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7. Procedimiento de Reportes: Reporte de Transacción Sospechosa, tentativa, transacciones en efectivo, reporte mensual sectorial y tablero de monitoreo, con sus plazos internos y umbrales.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8. Procedimiento de inmovilización y reporte ante coincidencia en listas del Consejo de Seguridad de las Naciones Unidas.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9. Procedimiento de aprobación de clientes Personas Expuestas Políticamente y de riesgo alto.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10. Procedimiento de Reporte Interno de Transacciones Inusuales o Sospechosas.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11. Manuales de procedimiento operativo (onboarding, aprobación y escalamiento).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12. Reglamento Interno de Trabajo y política de recursos humanos (reclutamiento, selección y contratación).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13. Código de Ética.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14. Formatos: Declaración Jurada de Beneficiario Final; Declaración Jurada de Persona Expuesta Políticamente; formulario de creación de expediente del cliente establecido por la IVE (IVE-RE-23 o el que lo sustituya); Formulario Conoce a tu Cliente; Formulario Conoce a tu Proveedor; Formulario de Reporte Interno; Lista de Asistencia de Capacitación; texto modelo de comunicación de rechazo o terminación.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15. Cláusulas contractuales modelo: manifestación de Persona Obligada, terminación por incumplimiento de los requerimientos de cumplimiento normativo y colaboración con la IVE.</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mantendrá actualizado el registro de la versión vigente de cada documento complementario y de la fecha de su aprobación.</w:t>
      </w:r>
    </w:p>
    <w:sectPr w:rsidR="001815AC" w:rsidRPr="0057078F">
      <w:headerReference w:type="default" r:id="rId13"/>
      <w:footerReference w:type="default" r:id="rId14"/>
      <w:pgSz w:w="12240" w:h="15840"/>
      <w:pgMar w:top="1276" w:right="1325" w:bottom="1417" w:left="1701" w:header="708" w:footer="53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ADFA5" w14:textId="77777777" w:rsidR="00A037D5" w:rsidRDefault="00A037D5">
      <w:pPr>
        <w:spacing w:after="0" w:line="240" w:lineRule="auto"/>
      </w:pPr>
      <w:r>
        <w:separator/>
      </w:r>
    </w:p>
  </w:endnote>
  <w:endnote w:type="continuationSeparator" w:id="0">
    <w:p w14:paraId="7F975B01" w14:textId="77777777" w:rsidR="00A037D5" w:rsidRDefault="00A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54F20FB3-F0AE-4E4C-B87B-65D6ABEA2D9E}"/>
  </w:font>
  <w:font w:name="Courier New">
    <w:panose1 w:val="02070309020205020404"/>
    <w:charset w:val="00"/>
    <w:family w:val="modern"/>
    <w:pitch w:val="fixed"/>
    <w:sig w:usb0="E0002EFF" w:usb1="C0007843" w:usb2="00000009" w:usb3="00000000" w:csb0="000001FF" w:csb1="00000000"/>
    <w:embedRegular r:id="rId2" w:fontKey="{9E88A604-AFD9-C844-819B-CCD6A4503E69}"/>
  </w:font>
  <w:font w:name="Times New Roman">
    <w:panose1 w:val="02020603050405020304"/>
    <w:charset w:val="00"/>
    <w:family w:val="roman"/>
    <w:pitch w:val="variable"/>
    <w:sig w:usb0="E0002EFF" w:usb1="C000785B" w:usb2="00000009" w:usb3="00000000" w:csb0="000001FF" w:csb1="00000000"/>
    <w:embedRegular r:id="rId3" w:fontKey="{5B9C7475-C848-2A43-9610-A379C3A5FF04}"/>
    <w:embedBold r:id="rId4" w:fontKey="{B8F95CF3-D68A-9644-9C9A-139C4CC006A0}"/>
    <w:embedItalic r:id="rId5" w:fontKey="{A98D8EF2-5E6F-DF4C-941D-D9CB2B88FFBB}"/>
    <w:embedBoldItalic r:id="rId6" w:fontKey="{D431B1A1-0EBB-9E46-AF80-4C4F7E514B8B}"/>
  </w:font>
  <w:font w:name="Symbol">
    <w:panose1 w:val="05050102010706020507"/>
    <w:charset w:val="02"/>
    <w:family w:val="decorative"/>
    <w:pitch w:val="variable"/>
    <w:sig w:usb0="00000000" w:usb1="10000000" w:usb2="00000000" w:usb3="00000000" w:csb0="80000000" w:csb1="00000000"/>
    <w:embedRegular r:id="rId7" w:fontKey="{382BEA38-26BA-1F4F-B3DC-3790A0914A9F}"/>
  </w:font>
  <w:font w:name="Wingdings">
    <w:panose1 w:val="05000000000000000000"/>
    <w:charset w:val="02"/>
    <w:family w:val="auto"/>
    <w:pitch w:val="variable"/>
    <w:sig w:usb0="00000000" w:usb1="10000000" w:usb2="00000000" w:usb3="00000000" w:csb0="80000000" w:csb1="00000000"/>
    <w:embedRegular r:id="rId8" w:fontKey="{E5BFE077-99C3-EF4A-89C5-6D0D9FEB4738}"/>
  </w:font>
  <w:font w:name="Calibri">
    <w:panose1 w:val="020F0502020204030204"/>
    <w:charset w:val="00"/>
    <w:family w:val="swiss"/>
    <w:pitch w:val="variable"/>
    <w:sig w:usb0="E4002EFF" w:usb1="C000247B" w:usb2="00000009" w:usb3="00000000" w:csb0="000001FF" w:csb1="00000000"/>
    <w:embedRegular r:id="rId9" w:fontKey="{8A81E99A-74C7-BB4E-B301-60067085547F}"/>
    <w:embedBold r:id="rId10" w:fontKey="{6C29BA8D-DE44-9146-9D35-FB7FE8009A8A}"/>
  </w:font>
  <w:font w:name="Corbel">
    <w:panose1 w:val="020B0503020204020204"/>
    <w:charset w:val="00"/>
    <w:family w:val="swiss"/>
    <w:pitch w:val="variable"/>
    <w:sig w:usb0="A00002EF" w:usb1="4000A44B" w:usb2="00000000" w:usb3="00000000" w:csb0="0000019F" w:csb1="00000000"/>
    <w:embedRegular r:id="rId11" w:fontKey="{B43BAF20-9A9F-0844-8260-1EE32DB7419D}"/>
    <w:embedBold r:id="rId12" w:fontKey="{2CF83CB9-AEC0-1144-8904-6AFE9881C469}"/>
    <w:embedItalic r:id="rId13" w:fontKey="{0E48845B-1526-1E44-AB90-9B81D1AE5E6E}"/>
    <w:embedBoldItalic r:id="rId14" w:fontKey="{3023BC9A-A136-284B-8359-C04B36D05EE9}"/>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5" w:fontKey="{E99304D5-E812-BB49-B3D0-BD0669C39DB9}"/>
  </w:font>
  <w:font w:name="Arial">
    <w:panose1 w:val="020B0604020202020204"/>
    <w:charset w:val="00"/>
    <w:family w:val="swiss"/>
    <w:pitch w:val="variable"/>
    <w:sig w:usb0="E0002EFF" w:usb1="C000785B" w:usb2="00000009" w:usb3="00000000" w:csb0="000001FF" w:csb1="00000000"/>
    <w:embedRegular r:id="rId16" w:fontKey="{4079983A-5EC7-DC48-A476-06ACB22D1A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B4441" w14:textId="77777777" w:rsidR="001815AC"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libri" w:eastAsia="Calibri" w:hAnsi="Calibri" w:cs="Calibri"/>
        <w:color w:val="000000"/>
        <w:sz w:val="20"/>
        <w:szCs w:val="20"/>
      </w:rPr>
      <w:t>Este documento es propiedad de Propi Tech por lo que está terminantemente prohibida la reproducción total o parcial del mismo.</w:t>
    </w:r>
  </w:p>
  <w:p w14:paraId="26C61A14" w14:textId="77777777" w:rsidR="001815AC"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E3C2C">
      <w:rPr>
        <w:noProof/>
        <w:color w:val="000000"/>
      </w:rPr>
      <w:t>1</w:t>
    </w:r>
    <w:r>
      <w:rPr>
        <w:color w:val="000000"/>
      </w:rPr>
      <w:fldChar w:fldCharType="end"/>
    </w:r>
  </w:p>
  <w:p w14:paraId="18E3280A" w14:textId="77777777" w:rsidR="001815AC" w:rsidRDefault="001815A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62DFE" w14:textId="77777777" w:rsidR="00A037D5" w:rsidRDefault="00A037D5">
      <w:pPr>
        <w:spacing w:after="0" w:line="240" w:lineRule="auto"/>
      </w:pPr>
      <w:r>
        <w:separator/>
      </w:r>
    </w:p>
  </w:footnote>
  <w:footnote w:type="continuationSeparator" w:id="0">
    <w:p w14:paraId="47F14C46" w14:textId="77777777" w:rsidR="00A037D5" w:rsidRDefault="00A037D5">
      <w:pPr>
        <w:spacing w:after="0" w:line="240" w:lineRule="auto"/>
      </w:pPr>
      <w:r>
        <w:continuationSeparator/>
      </w:r>
    </w:p>
  </w:footnote>
  <w:footnote w:id="1">
    <w:p w14:paraId="4B78416C" w14:textId="77777777" w:rsidR="001151C3" w:rsidRPr="001151C3" w:rsidRDefault="001151C3" w:rsidP="001151C3">
      <w:pPr>
        <w:spacing w:after="0" w:line="240" w:lineRule="auto"/>
        <w:rPr>
          <w:rFonts w:ascii="Calibri" w:eastAsia="Calibri" w:hAnsi="Calibri" w:cs="Calibri"/>
          <w:color w:val="1A1A1A"/>
          <w:sz w:val="16"/>
          <w:szCs w:val="16"/>
        </w:rPr>
      </w:pPr>
      <w:r>
        <w:rPr>
          <w:rStyle w:val="FootnoteReference"/>
        </w:rPr>
        <w:footnoteRef/>
      </w:r>
      <w:r>
        <w:t xml:space="preserve"> </w:t>
      </w:r>
      <w:r w:rsidRPr="001151C3">
        <w:rPr>
          <w:rFonts w:ascii="Calibri" w:eastAsia="Calibri" w:hAnsi="Calibri" w:cs="Calibri"/>
          <w:color w:val="1A1A1A"/>
          <w:sz w:val="16"/>
          <w:szCs w:val="16"/>
        </w:rPr>
        <w:t>(*) El comprobante de domicilio sólo se requiere cuando la identificación que se obtenga del Proveedor no cuente con domicilio o que éste no coincida con el señalado en el contrato.</w:t>
      </w:r>
    </w:p>
    <w:p w14:paraId="7A9967C6" w14:textId="31CC30C1" w:rsidR="001151C3" w:rsidRDefault="001151C3" w:rsidP="001151C3">
      <w:pPr>
        <w:pStyle w:val="FootnoteText"/>
        <w:rPr>
          <w:rFonts w:ascii="Calibri" w:eastAsia="Calibri" w:hAnsi="Calibri" w:cs="Calibri"/>
          <w:color w:val="1A1A1A"/>
          <w:sz w:val="16"/>
          <w:szCs w:val="16"/>
        </w:rPr>
      </w:pPr>
      <w:r w:rsidRPr="001151C3">
        <w:rPr>
          <w:rFonts w:ascii="Calibri" w:eastAsia="Calibri" w:hAnsi="Calibri" w:cs="Calibri"/>
          <w:color w:val="1A1A1A"/>
          <w:sz w:val="16"/>
          <w:szCs w:val="16"/>
        </w:rPr>
        <w:t xml:space="preserve">(**) </w:t>
      </w:r>
      <w:r>
        <w:rPr>
          <w:rFonts w:ascii="Calibri" w:eastAsia="Calibri" w:hAnsi="Calibri" w:cs="Calibri"/>
          <w:color w:val="1A1A1A"/>
          <w:sz w:val="16"/>
          <w:szCs w:val="16"/>
        </w:rPr>
        <w:t>Será solicitada la co</w:t>
      </w:r>
      <w:r>
        <w:rPr>
          <w:rFonts w:ascii="Calibri" w:eastAsia="Calibri" w:hAnsi="Calibri" w:cs="Calibri"/>
          <w:color w:val="1A1A1A"/>
          <w:sz w:val="16"/>
          <w:szCs w:val="16"/>
        </w:rPr>
        <w:t>nstancia de beneficiarios finales en los casos en los que sean entidades extranjeras constituidas en paraísos fiscales.</w:t>
      </w:r>
    </w:p>
    <w:p w14:paraId="3C0EE03D" w14:textId="507EC341" w:rsidR="001151C3" w:rsidRPr="001151C3" w:rsidRDefault="001151C3" w:rsidP="001151C3">
      <w:pPr>
        <w:pStyle w:val="FootnoteText"/>
        <w:rPr>
          <w:lang w:val="es-ES_tradnl"/>
        </w:rPr>
      </w:pPr>
      <w:r>
        <w:rPr>
          <w:rFonts w:ascii="Calibri" w:eastAsia="Calibri" w:hAnsi="Calibri" w:cs="Calibri"/>
          <w:color w:val="1A1A1A"/>
          <w:sz w:val="16"/>
          <w:szCs w:val="16"/>
        </w:rPr>
        <w:t xml:space="preserve">(***) </w:t>
      </w:r>
      <w:r w:rsidRPr="001151C3">
        <w:rPr>
          <w:rFonts w:ascii="Calibri" w:eastAsia="Calibri" w:hAnsi="Calibri" w:cs="Calibri"/>
          <w:color w:val="1A1A1A"/>
          <w:sz w:val="16"/>
          <w:szCs w:val="16"/>
        </w:rPr>
        <w:t xml:space="preserve">El comprobante será solicitado para aquellas entidades </w:t>
      </w:r>
      <w:r>
        <w:rPr>
          <w:rFonts w:ascii="Calibri" w:eastAsia="Calibri" w:hAnsi="Calibri" w:cs="Calibri"/>
          <w:color w:val="1A1A1A"/>
          <w:sz w:val="16"/>
          <w:szCs w:val="16"/>
        </w:rPr>
        <w:t xml:space="preserve">nacionales </w:t>
      </w:r>
      <w:r w:rsidRPr="001151C3">
        <w:rPr>
          <w:rFonts w:ascii="Calibri" w:eastAsia="Calibri" w:hAnsi="Calibri" w:cs="Calibri"/>
          <w:color w:val="1A1A1A"/>
          <w:sz w:val="16"/>
          <w:szCs w:val="16"/>
        </w:rPr>
        <w:t>que pertenezcan al grupo de Personas Obligadas establecido en la Ley Contra el Lavado de Dinero u Otros Activos y su Reglamento.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ECC8F" w14:textId="77777777" w:rsidR="001815AC" w:rsidRDefault="001815AC">
    <w:pPr>
      <w:widowControl w:val="0"/>
      <w:pBdr>
        <w:top w:val="nil"/>
        <w:left w:val="nil"/>
        <w:bottom w:val="nil"/>
        <w:right w:val="nil"/>
        <w:between w:val="nil"/>
      </w:pBdr>
      <w:spacing w:after="0" w:line="276" w:lineRule="auto"/>
      <w:rPr>
        <w:rFonts w:ascii="Calibri" w:eastAsia="Calibri" w:hAnsi="Calibri" w:cs="Calibri"/>
        <w:color w:val="1A1A1A"/>
        <w:sz w:val="24"/>
        <w:szCs w:val="24"/>
      </w:rPr>
    </w:pPr>
  </w:p>
  <w:tbl>
    <w:tblPr>
      <w:tblStyle w:val="a7"/>
      <w:tblW w:w="9350" w:type="dxa"/>
      <w:tblLayout w:type="fixed"/>
      <w:tblLook w:val="0400" w:firstRow="0" w:lastRow="0" w:firstColumn="0" w:lastColumn="0" w:noHBand="0" w:noVBand="1"/>
    </w:tblPr>
    <w:tblGrid>
      <w:gridCol w:w="7100"/>
      <w:gridCol w:w="2250"/>
    </w:tblGrid>
    <w:tr w:rsidR="001815AC" w14:paraId="0E354931" w14:textId="77777777">
      <w:trPr>
        <w:trHeight w:val="891"/>
      </w:trPr>
      <w:tc>
        <w:tcPr>
          <w:tcW w:w="7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A5C99" w14:textId="77777777" w:rsidR="001815AC" w:rsidRDefault="00000000">
          <w:pPr>
            <w:spacing w:after="0" w:line="240" w:lineRule="auto"/>
            <w:jc w:val="center"/>
            <w:rPr>
              <w:rFonts w:ascii="Times New Roman" w:eastAsia="Times New Roman" w:hAnsi="Times New Roman" w:cs="Times New Roman"/>
              <w:sz w:val="24"/>
              <w:szCs w:val="24"/>
            </w:rPr>
          </w:pPr>
          <w:r>
            <w:rPr>
              <w:rFonts w:ascii="Calibri" w:eastAsia="Calibri" w:hAnsi="Calibri" w:cs="Calibri"/>
              <w:noProof/>
              <w:color w:val="000000"/>
            </w:rPr>
            <w:drawing>
              <wp:inline distT="0" distB="0" distL="0" distR="0" wp14:anchorId="09092C3D" wp14:editId="3FF2C40D">
                <wp:extent cx="1760220" cy="548640"/>
                <wp:effectExtent l="0" t="0" r="0" b="0"/>
                <wp:docPr id="1593216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60220" cy="548640"/>
                        </a:xfrm>
                        <a:prstGeom prst="rect">
                          <a:avLst/>
                        </a:prstGeom>
                        <a:ln/>
                      </pic:spPr>
                    </pic:pic>
                  </a:graphicData>
                </a:graphic>
              </wp:inline>
            </w:drawing>
          </w:r>
        </w:p>
        <w:p w14:paraId="099F1A79" w14:textId="17E933F0" w:rsidR="001815AC" w:rsidRDefault="00000000">
          <w:pPr>
            <w:spacing w:after="0" w:line="240" w:lineRule="auto"/>
            <w:jc w:val="center"/>
            <w:rPr>
              <w:rFonts w:ascii="Times New Roman" w:eastAsia="Times New Roman" w:hAnsi="Times New Roman" w:cs="Times New Roman"/>
              <w:b/>
              <w:sz w:val="24"/>
              <w:szCs w:val="24"/>
            </w:rPr>
          </w:pPr>
          <w:r>
            <w:rPr>
              <w:rFonts w:ascii="Calibri" w:eastAsia="Calibri" w:hAnsi="Calibri" w:cs="Calibri"/>
              <w:b/>
              <w:color w:val="000000"/>
            </w:rPr>
            <w:t xml:space="preserve">MANUAL DE PREVENCIÓN LD/FT/FPADM</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752F9" w14:textId="77777777" w:rsidR="001815AC" w:rsidRDefault="00000000">
          <w:pPr>
            <w:spacing w:after="0" w:line="240" w:lineRule="auto"/>
            <w:ind w:left="131"/>
            <w:rPr>
              <w:rFonts w:ascii="Times New Roman" w:eastAsia="Times New Roman" w:hAnsi="Times New Roman" w:cs="Times New Roman"/>
            </w:rPr>
          </w:pPr>
          <w:r>
            <w:rPr>
              <w:rFonts w:ascii="Calibri" w:eastAsia="Calibri" w:hAnsi="Calibri" w:cs="Calibri"/>
              <w:color w:val="000000"/>
            </w:rPr>
            <w:t xml:space="preserve">Revisión: </w:t>
          </w:r>
          <w:r>
            <w:rPr>
              <w:rFonts w:ascii="Calibri" w:eastAsia="Calibri" w:hAnsi="Calibri" w:cs="Calibri"/>
              <w:color w:val="000000"/>
            </w:rPr>
            <w:t xml:space="preserve">01</w:t>
          </w:r>
          <w:r>
            <w:rPr>
              <w:rFonts w:ascii="Calibri" w:eastAsia="Calibri" w:hAnsi="Calibri" w:cs="Calibri"/>
              <w:color w:val="000000"/>
            </w:rPr>
            <w:t xml:space="preserve"> </w:t>
          </w:r>
        </w:p>
        <w:p w14:paraId="74C6EB14" w14:textId="040899BC" w:rsidR="001815AC" w:rsidRDefault="00000000">
          <w:pPr>
            <w:spacing w:before="13" w:after="0" w:line="240" w:lineRule="auto"/>
            <w:ind w:left="122" w:right="210" w:firstLine="9"/>
            <w:rPr>
              <w:rFonts w:ascii="Times New Roman" w:eastAsia="Times New Roman" w:hAnsi="Times New Roman" w:cs="Times New Roman"/>
              <w:sz w:val="24"/>
              <w:szCs w:val="24"/>
            </w:rPr>
          </w:pPr>
          <w:r>
            <w:rPr>
              <w:rFonts w:ascii="Calibri" w:eastAsia="Calibri" w:hAnsi="Calibri" w:cs="Calibri"/>
              <w:color w:val="000000"/>
            </w:rPr>
            <w:t xml:space="preserve">Fecha: </w:t>
          </w:r>
          <w:r>
            <w:rPr>
              <w:rFonts w:ascii="Calibri" w:eastAsia="Calibri" w:hAnsi="Calibri" w:cs="Calibri"/>
              <w:color w:val="000000"/>
            </w:rPr>
            <w:t xml:space="preserve">10-sept-26 Código: MA-SIP-26</w:t>
          </w:r>
        </w:p>
      </w:tc>
    </w:tr>
  </w:tbl>
  <w:p w14:paraId="2D459812" w14:textId="77777777" w:rsidR="001815AC" w:rsidRDefault="001815AC">
    <w:pPr>
      <w:pBdr>
        <w:top w:val="nil"/>
        <w:left w:val="nil"/>
        <w:bottom w:val="nil"/>
        <w:right w:val="nil"/>
        <w:between w:val="nil"/>
      </w:pBdr>
      <w:tabs>
        <w:tab w:val="center" w:pos="4419"/>
        <w:tab w:val="right" w:pos="8838"/>
      </w:tabs>
      <w:spacing w:after="0" w:line="240" w:lineRule="auto"/>
      <w:jc w:val="center"/>
      <w:rPr>
        <w:color w:val="33643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2E7F"/>
    <w:multiLevelType w:val="multilevel"/>
    <w:tmpl w:val="D52E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798D"/>
    <w:multiLevelType w:val="multilevel"/>
    <w:tmpl w:val="B2D8A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7728AF"/>
    <w:multiLevelType w:val="multilevel"/>
    <w:tmpl w:val="E034B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977EE2"/>
    <w:multiLevelType w:val="hybridMultilevel"/>
    <w:tmpl w:val="DA5204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12E6"/>
    <w:multiLevelType w:val="multilevel"/>
    <w:tmpl w:val="634E29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E160A0E"/>
    <w:multiLevelType w:val="hybridMultilevel"/>
    <w:tmpl w:val="A8FC3A34"/>
    <w:lvl w:ilvl="0" w:tplc="7B168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7678B5"/>
    <w:multiLevelType w:val="multilevel"/>
    <w:tmpl w:val="1A605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5CC6693"/>
    <w:multiLevelType w:val="multilevel"/>
    <w:tmpl w:val="A7B2CB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6492FDA"/>
    <w:multiLevelType w:val="multilevel"/>
    <w:tmpl w:val="DBA626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6DC37C4"/>
    <w:multiLevelType w:val="multilevel"/>
    <w:tmpl w:val="1F28A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8963AB"/>
    <w:multiLevelType w:val="multilevel"/>
    <w:tmpl w:val="BDB086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F23BF1"/>
    <w:multiLevelType w:val="multilevel"/>
    <w:tmpl w:val="91528D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9A59AF"/>
    <w:multiLevelType w:val="multilevel"/>
    <w:tmpl w:val="B5260EEA"/>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4C1B34"/>
    <w:multiLevelType w:val="multilevel"/>
    <w:tmpl w:val="C53E68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7897839"/>
    <w:multiLevelType w:val="hybridMultilevel"/>
    <w:tmpl w:val="D4C4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16EE5"/>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F20D1D"/>
    <w:multiLevelType w:val="multilevel"/>
    <w:tmpl w:val="7D385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F0337E2"/>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0462CC"/>
    <w:multiLevelType w:val="multilevel"/>
    <w:tmpl w:val="0BFAD4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7520124"/>
    <w:multiLevelType w:val="multilevel"/>
    <w:tmpl w:val="F4AC18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A68659C"/>
    <w:multiLevelType w:val="multilevel"/>
    <w:tmpl w:val="D696B298"/>
    <w:lvl w:ilvl="0">
      <w:start w:val="1"/>
      <w:numFmt w:val="lowerLetter"/>
      <w:lvlText w:val="%1)"/>
      <w:lvlJc w:val="left"/>
      <w:pPr>
        <w:ind w:left="720" w:hanging="360"/>
      </w:pPr>
    </w:lvl>
    <w:lvl w:ilvl="1">
      <w:start w:val="1"/>
      <w:numFmt w:val="upp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FC746C"/>
    <w:multiLevelType w:val="hybridMultilevel"/>
    <w:tmpl w:val="36861C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E5286"/>
    <w:multiLevelType w:val="multilevel"/>
    <w:tmpl w:val="702003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F51446A"/>
    <w:multiLevelType w:val="multilevel"/>
    <w:tmpl w:val="983E2A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28A5D1B"/>
    <w:multiLevelType w:val="hybridMultilevel"/>
    <w:tmpl w:val="8A78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02814"/>
    <w:multiLevelType w:val="multilevel"/>
    <w:tmpl w:val="9E324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D240FB"/>
    <w:multiLevelType w:val="multilevel"/>
    <w:tmpl w:val="474A3926"/>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7A1AA8"/>
    <w:multiLevelType w:val="multilevel"/>
    <w:tmpl w:val="9146C9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12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6F3625B"/>
    <w:multiLevelType w:val="multilevel"/>
    <w:tmpl w:val="1F3246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BAC293F"/>
    <w:multiLevelType w:val="multilevel"/>
    <w:tmpl w:val="230A8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6B6236"/>
    <w:multiLevelType w:val="multilevel"/>
    <w:tmpl w:val="FA38CE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F7A0436"/>
    <w:multiLevelType w:val="multilevel"/>
    <w:tmpl w:val="7026F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7656B2C"/>
    <w:multiLevelType w:val="hybridMultilevel"/>
    <w:tmpl w:val="F3E8AAE2"/>
    <w:lvl w:ilvl="0" w:tplc="080A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26DC9"/>
    <w:multiLevelType w:val="multilevel"/>
    <w:tmpl w:val="2EA281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927367"/>
    <w:multiLevelType w:val="multilevel"/>
    <w:tmpl w:val="F78C3E2A"/>
    <w:lvl w:ilvl="0">
      <w:start w:val="1"/>
      <w:numFmt w:val="upperRoman"/>
      <w:pStyle w:val="Heading1"/>
      <w:lvlText w:val="%1."/>
      <w:lvlJc w:val="left"/>
      <w:pPr>
        <w:ind w:left="1080" w:hanging="72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5" w15:restartNumberingAfterBreak="0">
    <w:nsid w:val="700C4E08"/>
    <w:multiLevelType w:val="multilevel"/>
    <w:tmpl w:val="AB30E324"/>
    <w:lvl w:ilvl="0">
      <w:start w:val="1"/>
      <w:numFmt w:val="upperLetter"/>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0AB1C24"/>
    <w:multiLevelType w:val="hybridMultilevel"/>
    <w:tmpl w:val="76285E78"/>
    <w:lvl w:ilvl="0" w:tplc="080A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046CE"/>
    <w:multiLevelType w:val="multilevel"/>
    <w:tmpl w:val="FE0E2A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7C876F8"/>
    <w:multiLevelType w:val="multilevel"/>
    <w:tmpl w:val="C67057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B7473FA"/>
    <w:multiLevelType w:val="multilevel"/>
    <w:tmpl w:val="0A607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0D0B4B"/>
    <w:multiLevelType w:val="multilevel"/>
    <w:tmpl w:val="F5F8E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ED032F0"/>
    <w:multiLevelType w:val="multilevel"/>
    <w:tmpl w:val="A5C27B2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788" w:hanging="707"/>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3012501">
    <w:abstractNumId w:val="17"/>
  </w:num>
  <w:num w:numId="2" w16cid:durableId="1770738439">
    <w:abstractNumId w:val="16"/>
  </w:num>
  <w:num w:numId="3" w16cid:durableId="1833325274">
    <w:abstractNumId w:val="22"/>
  </w:num>
  <w:num w:numId="4" w16cid:durableId="931472448">
    <w:abstractNumId w:val="41"/>
  </w:num>
  <w:num w:numId="5" w16cid:durableId="1657958625">
    <w:abstractNumId w:val="10"/>
  </w:num>
  <w:num w:numId="6" w16cid:durableId="1284574996">
    <w:abstractNumId w:val="39"/>
  </w:num>
  <w:num w:numId="7" w16cid:durableId="37710810">
    <w:abstractNumId w:val="37"/>
  </w:num>
  <w:num w:numId="8" w16cid:durableId="1819884808">
    <w:abstractNumId w:val="2"/>
  </w:num>
  <w:num w:numId="9" w16cid:durableId="1879194059">
    <w:abstractNumId w:val="34"/>
  </w:num>
  <w:num w:numId="10" w16cid:durableId="1375816221">
    <w:abstractNumId w:val="19"/>
  </w:num>
  <w:num w:numId="11" w16cid:durableId="1138840067">
    <w:abstractNumId w:val="35"/>
  </w:num>
  <w:num w:numId="12" w16cid:durableId="1609578589">
    <w:abstractNumId w:val="7"/>
  </w:num>
  <w:num w:numId="13" w16cid:durableId="283658146">
    <w:abstractNumId w:val="28"/>
  </w:num>
  <w:num w:numId="14" w16cid:durableId="1485657670">
    <w:abstractNumId w:val="29"/>
  </w:num>
  <w:num w:numId="15" w16cid:durableId="162475344">
    <w:abstractNumId w:val="23"/>
  </w:num>
  <w:num w:numId="16" w16cid:durableId="87625818">
    <w:abstractNumId w:val="20"/>
  </w:num>
  <w:num w:numId="17" w16cid:durableId="1341346917">
    <w:abstractNumId w:val="4"/>
  </w:num>
  <w:num w:numId="18" w16cid:durableId="1567182743">
    <w:abstractNumId w:val="31"/>
  </w:num>
  <w:num w:numId="19" w16cid:durableId="369887132">
    <w:abstractNumId w:val="18"/>
  </w:num>
  <w:num w:numId="20" w16cid:durableId="733624011">
    <w:abstractNumId w:val="6"/>
  </w:num>
  <w:num w:numId="21" w16cid:durableId="1159072970">
    <w:abstractNumId w:val="25"/>
  </w:num>
  <w:num w:numId="22" w16cid:durableId="174654595">
    <w:abstractNumId w:val="12"/>
  </w:num>
  <w:num w:numId="23" w16cid:durableId="2024160639">
    <w:abstractNumId w:val="8"/>
  </w:num>
  <w:num w:numId="24" w16cid:durableId="558396183">
    <w:abstractNumId w:val="40"/>
  </w:num>
  <w:num w:numId="25" w16cid:durableId="1387995511">
    <w:abstractNumId w:val="1"/>
  </w:num>
  <w:num w:numId="26" w16cid:durableId="1804731365">
    <w:abstractNumId w:val="11"/>
  </w:num>
  <w:num w:numId="27" w16cid:durableId="1908613896">
    <w:abstractNumId w:val="30"/>
  </w:num>
  <w:num w:numId="28" w16cid:durableId="1469591571">
    <w:abstractNumId w:val="26"/>
  </w:num>
  <w:num w:numId="29" w16cid:durableId="1299611542">
    <w:abstractNumId w:val="33"/>
  </w:num>
  <w:num w:numId="30" w16cid:durableId="1364592518">
    <w:abstractNumId w:val="27"/>
  </w:num>
  <w:num w:numId="31" w16cid:durableId="1275288497">
    <w:abstractNumId w:val="13"/>
  </w:num>
  <w:num w:numId="32" w16cid:durableId="335688862">
    <w:abstractNumId w:val="38"/>
  </w:num>
  <w:num w:numId="33" w16cid:durableId="1905681371">
    <w:abstractNumId w:val="9"/>
  </w:num>
  <w:num w:numId="34" w16cid:durableId="74976416">
    <w:abstractNumId w:val="15"/>
  </w:num>
  <w:num w:numId="35" w16cid:durableId="687413996">
    <w:abstractNumId w:val="0"/>
  </w:num>
  <w:num w:numId="36" w16cid:durableId="1804077106">
    <w:abstractNumId w:val="3"/>
  </w:num>
  <w:num w:numId="37" w16cid:durableId="101997645">
    <w:abstractNumId w:val="5"/>
  </w:num>
  <w:num w:numId="38" w16cid:durableId="535771381">
    <w:abstractNumId w:val="21"/>
  </w:num>
  <w:num w:numId="39" w16cid:durableId="1240024166">
    <w:abstractNumId w:val="24"/>
  </w:num>
  <w:num w:numId="40" w16cid:durableId="83381088">
    <w:abstractNumId w:val="32"/>
  </w:num>
  <w:num w:numId="41" w16cid:durableId="1817649269">
    <w:abstractNumId w:val="36"/>
  </w:num>
  <w:num w:numId="42" w16cid:durableId="37265697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é Roberto Castañeda"/>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AC"/>
    <w:rsid w:val="00027F70"/>
    <w:rsid w:val="0003609D"/>
    <w:rsid w:val="00042C57"/>
    <w:rsid w:val="00081881"/>
    <w:rsid w:val="001151C3"/>
    <w:rsid w:val="00130DBF"/>
    <w:rsid w:val="001656EC"/>
    <w:rsid w:val="001815AC"/>
    <w:rsid w:val="001E0881"/>
    <w:rsid w:val="002508F8"/>
    <w:rsid w:val="002653C7"/>
    <w:rsid w:val="003B0808"/>
    <w:rsid w:val="003E3C2C"/>
    <w:rsid w:val="004348A3"/>
    <w:rsid w:val="00435338"/>
    <w:rsid w:val="00463E03"/>
    <w:rsid w:val="00490426"/>
    <w:rsid w:val="00497667"/>
    <w:rsid w:val="004B3E38"/>
    <w:rsid w:val="0057078F"/>
    <w:rsid w:val="005822A1"/>
    <w:rsid w:val="005C45C9"/>
    <w:rsid w:val="00627C5A"/>
    <w:rsid w:val="00642217"/>
    <w:rsid w:val="006A2D1A"/>
    <w:rsid w:val="00700EB3"/>
    <w:rsid w:val="00732A7B"/>
    <w:rsid w:val="00785FE2"/>
    <w:rsid w:val="007B38E2"/>
    <w:rsid w:val="00893451"/>
    <w:rsid w:val="00903D37"/>
    <w:rsid w:val="00930840"/>
    <w:rsid w:val="009B0A1C"/>
    <w:rsid w:val="009B7BEE"/>
    <w:rsid w:val="00A02C80"/>
    <w:rsid w:val="00A037D5"/>
    <w:rsid w:val="00AD6888"/>
    <w:rsid w:val="00B24838"/>
    <w:rsid w:val="00B51ECD"/>
    <w:rsid w:val="00B72136"/>
    <w:rsid w:val="00BD46E3"/>
    <w:rsid w:val="00BD52A9"/>
    <w:rsid w:val="00BF6284"/>
    <w:rsid w:val="00C36077"/>
    <w:rsid w:val="00D719DD"/>
    <w:rsid w:val="00EB5513"/>
    <w:rsid w:val="00FF0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AF06"/>
  <w15:docId w15:val="{DD77165C-CB29-F44E-9F3E-DD0E0DCE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rbel" w:eastAsia="Corbel" w:hAnsi="Corbel" w:cs="Corbel"/>
        <w:sz w:val="22"/>
        <w:szCs w:val="22"/>
        <w:lang w:val="es-SV"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F"/>
  </w:style>
  <w:style w:type="paragraph" w:styleId="Heading1">
    <w:name w:val="heading 1"/>
    <w:basedOn w:val="Normal"/>
    <w:next w:val="Normal"/>
    <w:link w:val="Heading1Char"/>
    <w:uiPriority w:val="9"/>
    <w:qFormat/>
    <w:rsid w:val="009C4883"/>
    <w:pPr>
      <w:keepNext/>
      <w:keepLines/>
      <w:numPr>
        <w:numId w:val="9"/>
      </w:numPr>
      <w:spacing w:before="400" w:after="40" w:line="240" w:lineRule="auto"/>
      <w:outlineLvl w:val="0"/>
    </w:pPr>
    <w:rPr>
      <w:rFonts w:ascii="Calibri" w:eastAsiaTheme="majorEastAsia" w:hAnsi="Calibri" w:cstheme="majorBidi"/>
      <w:b/>
      <w:bCs/>
      <w:color w:val="1A1A1A" w:themeColor="background1" w:themeShade="1A"/>
      <w:sz w:val="24"/>
      <w:szCs w:val="24"/>
    </w:rPr>
  </w:style>
  <w:style w:type="paragraph" w:styleId="Heading2">
    <w:name w:val="heading 2"/>
    <w:basedOn w:val="Normal"/>
    <w:next w:val="Normal"/>
    <w:link w:val="Heading2Char"/>
    <w:uiPriority w:val="9"/>
    <w:unhideWhenUsed/>
    <w:qFormat/>
    <w:rsid w:val="001271B6"/>
    <w:pPr>
      <w:keepNext/>
      <w:keepLines/>
      <w:numPr>
        <w:numId w:val="11"/>
      </w:numPr>
      <w:spacing w:before="40" w:after="0" w:line="240" w:lineRule="auto"/>
      <w:outlineLvl w:val="1"/>
    </w:pPr>
    <w:rPr>
      <w:rFonts w:ascii="Calibri" w:eastAsiaTheme="majorEastAsia" w:hAnsi="Calibri" w:cstheme="majorHAnsi"/>
      <w:color w:val="1A1A1A" w:themeColor="background1" w:themeShade="1A"/>
      <w:sz w:val="24"/>
      <w:szCs w:val="24"/>
    </w:rPr>
  </w:style>
  <w:style w:type="paragraph" w:styleId="Heading3">
    <w:name w:val="heading 3"/>
    <w:basedOn w:val="Normal"/>
    <w:next w:val="Normal"/>
    <w:link w:val="Heading3Char"/>
    <w:uiPriority w:val="9"/>
    <w:unhideWhenUsed/>
    <w:qFormat/>
    <w:rsid w:val="00162F85"/>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162F85"/>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Heading5">
    <w:name w:val="heading 5"/>
    <w:basedOn w:val="Normal"/>
    <w:next w:val="Normal"/>
    <w:link w:val="Heading5Char"/>
    <w:uiPriority w:val="9"/>
    <w:semiHidden/>
    <w:unhideWhenUsed/>
    <w:qFormat/>
    <w:rsid w:val="00162F85"/>
    <w:pPr>
      <w:keepNext/>
      <w:keepLines/>
      <w:spacing w:before="40" w:after="0"/>
      <w:outlineLvl w:val="4"/>
    </w:pPr>
    <w:rPr>
      <w:rFonts w:asciiTheme="majorHAnsi" w:eastAsiaTheme="majorEastAsia" w:hAnsiTheme="majorHAnsi" w:cstheme="majorBidi"/>
      <w:caps/>
      <w:color w:val="374C80" w:themeColor="accent1" w:themeShade="BF"/>
    </w:rPr>
  </w:style>
  <w:style w:type="paragraph" w:styleId="Heading6">
    <w:name w:val="heading 6"/>
    <w:basedOn w:val="Normal"/>
    <w:next w:val="Normal"/>
    <w:link w:val="Heading6Char"/>
    <w:uiPriority w:val="9"/>
    <w:semiHidden/>
    <w:unhideWhenUsed/>
    <w:qFormat/>
    <w:rsid w:val="00162F85"/>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Heading7">
    <w:name w:val="heading 7"/>
    <w:basedOn w:val="Normal"/>
    <w:next w:val="Normal"/>
    <w:link w:val="Heading7Char"/>
    <w:uiPriority w:val="9"/>
    <w:semiHidden/>
    <w:unhideWhenUsed/>
    <w:qFormat/>
    <w:rsid w:val="00162F85"/>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Heading8">
    <w:name w:val="heading 8"/>
    <w:basedOn w:val="Normal"/>
    <w:next w:val="Normal"/>
    <w:link w:val="Heading8Char"/>
    <w:uiPriority w:val="9"/>
    <w:semiHidden/>
    <w:unhideWhenUsed/>
    <w:qFormat/>
    <w:rsid w:val="00162F85"/>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Heading9">
    <w:name w:val="heading 9"/>
    <w:basedOn w:val="Normal"/>
    <w:next w:val="Normal"/>
    <w:link w:val="Heading9Char"/>
    <w:uiPriority w:val="9"/>
    <w:semiHidden/>
    <w:unhideWhenUsed/>
    <w:qFormat/>
    <w:rsid w:val="00162F85"/>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2F85"/>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Heading1Char">
    <w:name w:val="Heading 1 Char"/>
    <w:basedOn w:val="DefaultParagraphFont"/>
    <w:link w:val="Heading1"/>
    <w:uiPriority w:val="9"/>
    <w:rsid w:val="009C4883"/>
    <w:rPr>
      <w:rFonts w:ascii="Calibri" w:eastAsiaTheme="majorEastAsia" w:hAnsi="Calibri" w:cstheme="majorBidi"/>
      <w:b/>
      <w:bCs/>
      <w:color w:val="1A1A1A" w:themeColor="background1" w:themeShade="1A"/>
      <w:sz w:val="24"/>
      <w:szCs w:val="24"/>
    </w:rPr>
  </w:style>
  <w:style w:type="character" w:customStyle="1" w:styleId="Heading2Char">
    <w:name w:val="Heading 2 Char"/>
    <w:basedOn w:val="DefaultParagraphFont"/>
    <w:link w:val="Heading2"/>
    <w:uiPriority w:val="9"/>
    <w:rsid w:val="001271B6"/>
    <w:rPr>
      <w:rFonts w:ascii="Calibri" w:eastAsiaTheme="majorEastAsia" w:hAnsi="Calibri" w:cstheme="majorHAnsi"/>
      <w:color w:val="1A1A1A" w:themeColor="background1" w:themeShade="1A"/>
      <w:sz w:val="24"/>
      <w:szCs w:val="24"/>
    </w:rPr>
  </w:style>
  <w:style w:type="character" w:customStyle="1" w:styleId="Heading3Char">
    <w:name w:val="Heading 3 Char"/>
    <w:basedOn w:val="DefaultParagraphFont"/>
    <w:link w:val="Heading3"/>
    <w:uiPriority w:val="9"/>
    <w:rsid w:val="00162F85"/>
    <w:rPr>
      <w:rFonts w:asciiTheme="majorHAnsi" w:eastAsiaTheme="majorEastAsia" w:hAnsiTheme="majorHAnsi"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162F85"/>
    <w:rPr>
      <w:rFonts w:asciiTheme="majorHAnsi" w:eastAsiaTheme="majorEastAsia" w:hAnsiTheme="majorHAnsi" w:cstheme="majorBidi"/>
      <w:color w:val="374C80" w:themeColor="accent1" w:themeShade="BF"/>
      <w:sz w:val="24"/>
      <w:szCs w:val="24"/>
    </w:rPr>
  </w:style>
  <w:style w:type="character" w:customStyle="1" w:styleId="Heading5Char">
    <w:name w:val="Heading 5 Char"/>
    <w:basedOn w:val="DefaultParagraphFont"/>
    <w:link w:val="Heading5"/>
    <w:uiPriority w:val="9"/>
    <w:semiHidden/>
    <w:rsid w:val="00162F85"/>
    <w:rPr>
      <w:rFonts w:asciiTheme="majorHAnsi" w:eastAsiaTheme="majorEastAsia" w:hAnsiTheme="majorHAnsi" w:cstheme="majorBidi"/>
      <w:caps/>
      <w:color w:val="374C80" w:themeColor="accent1" w:themeShade="BF"/>
    </w:rPr>
  </w:style>
  <w:style w:type="character" w:customStyle="1" w:styleId="Heading6Char">
    <w:name w:val="Heading 6 Char"/>
    <w:basedOn w:val="DefaultParagraphFont"/>
    <w:link w:val="Heading6"/>
    <w:uiPriority w:val="9"/>
    <w:semiHidden/>
    <w:rsid w:val="00162F85"/>
    <w:rPr>
      <w:rFonts w:asciiTheme="majorHAnsi" w:eastAsiaTheme="majorEastAsia" w:hAnsiTheme="majorHAnsi" w:cstheme="majorBidi"/>
      <w:i/>
      <w:iCs/>
      <w:caps/>
      <w:color w:val="253356" w:themeColor="accent1" w:themeShade="80"/>
    </w:rPr>
  </w:style>
  <w:style w:type="character" w:customStyle="1" w:styleId="Heading7Char">
    <w:name w:val="Heading 7 Char"/>
    <w:basedOn w:val="DefaultParagraphFont"/>
    <w:link w:val="Heading7"/>
    <w:uiPriority w:val="9"/>
    <w:semiHidden/>
    <w:rsid w:val="00162F85"/>
    <w:rPr>
      <w:rFonts w:asciiTheme="majorHAnsi" w:eastAsiaTheme="majorEastAsia" w:hAnsiTheme="majorHAnsi" w:cstheme="majorBidi"/>
      <w:b/>
      <w:bCs/>
      <w:color w:val="253356" w:themeColor="accent1" w:themeShade="80"/>
    </w:rPr>
  </w:style>
  <w:style w:type="character" w:customStyle="1" w:styleId="Heading8Char">
    <w:name w:val="Heading 8 Char"/>
    <w:basedOn w:val="DefaultParagraphFont"/>
    <w:link w:val="Heading8"/>
    <w:uiPriority w:val="9"/>
    <w:semiHidden/>
    <w:rsid w:val="00162F85"/>
    <w:rPr>
      <w:rFonts w:asciiTheme="majorHAnsi" w:eastAsiaTheme="majorEastAsia" w:hAnsiTheme="majorHAnsi" w:cstheme="majorBidi"/>
      <w:b/>
      <w:bCs/>
      <w:i/>
      <w:iCs/>
      <w:color w:val="253356" w:themeColor="accent1" w:themeShade="80"/>
    </w:rPr>
  </w:style>
  <w:style w:type="character" w:customStyle="1" w:styleId="Heading9Char">
    <w:name w:val="Heading 9 Char"/>
    <w:basedOn w:val="DefaultParagraphFont"/>
    <w:link w:val="Heading9"/>
    <w:uiPriority w:val="9"/>
    <w:semiHidden/>
    <w:rsid w:val="00162F85"/>
    <w:rPr>
      <w:rFonts w:asciiTheme="majorHAnsi" w:eastAsiaTheme="majorEastAsia" w:hAnsiTheme="majorHAnsi" w:cstheme="majorBidi"/>
      <w:i/>
      <w:iCs/>
      <w:color w:val="253356" w:themeColor="accent1" w:themeShade="80"/>
    </w:rPr>
  </w:style>
  <w:style w:type="paragraph" w:styleId="Header">
    <w:name w:val="header"/>
    <w:basedOn w:val="Normal"/>
    <w:link w:val="HeaderChar"/>
    <w:uiPriority w:val="99"/>
    <w:unhideWhenUsed/>
    <w:rsid w:val="007B2973"/>
    <w:pPr>
      <w:tabs>
        <w:tab w:val="center" w:pos="4419"/>
        <w:tab w:val="right" w:pos="8838"/>
      </w:tabs>
      <w:spacing w:after="0" w:line="240" w:lineRule="auto"/>
    </w:pPr>
  </w:style>
  <w:style w:type="character" w:customStyle="1" w:styleId="HeaderChar">
    <w:name w:val="Header Char"/>
    <w:basedOn w:val="DefaultParagraphFont"/>
    <w:link w:val="Header"/>
    <w:uiPriority w:val="99"/>
    <w:rsid w:val="007B2973"/>
  </w:style>
  <w:style w:type="paragraph" w:styleId="Footer">
    <w:name w:val="footer"/>
    <w:basedOn w:val="Normal"/>
    <w:link w:val="FooterChar"/>
    <w:uiPriority w:val="99"/>
    <w:unhideWhenUsed/>
    <w:rsid w:val="007B2973"/>
    <w:pPr>
      <w:tabs>
        <w:tab w:val="center" w:pos="4419"/>
        <w:tab w:val="right" w:pos="8838"/>
      </w:tabs>
      <w:spacing w:after="0" w:line="240" w:lineRule="auto"/>
    </w:pPr>
  </w:style>
  <w:style w:type="character" w:customStyle="1" w:styleId="FooterChar">
    <w:name w:val="Footer Char"/>
    <w:basedOn w:val="DefaultParagraphFont"/>
    <w:link w:val="Footer"/>
    <w:uiPriority w:val="99"/>
    <w:rsid w:val="007B2973"/>
  </w:style>
  <w:style w:type="paragraph" w:styleId="ListParagraph">
    <w:name w:val="List Paragraph"/>
    <w:basedOn w:val="Normal"/>
    <w:uiPriority w:val="34"/>
    <w:qFormat/>
    <w:rsid w:val="007B2973"/>
    <w:pPr>
      <w:ind w:left="720"/>
      <w:contextualSpacing/>
    </w:pPr>
  </w:style>
  <w:style w:type="character" w:styleId="Hyperlink">
    <w:name w:val="Hyperlink"/>
    <w:basedOn w:val="DefaultParagraphFont"/>
    <w:uiPriority w:val="99"/>
    <w:unhideWhenUsed/>
    <w:rsid w:val="007B2973"/>
    <w:rPr>
      <w:color w:val="9454C3" w:themeColor="hyperlink"/>
      <w:u w:val="single"/>
    </w:rPr>
  </w:style>
  <w:style w:type="table" w:styleId="TableGrid">
    <w:name w:val="Table Grid"/>
    <w:basedOn w:val="TableNormal"/>
    <w:uiPriority w:val="39"/>
    <w:rsid w:val="007B2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2973"/>
    <w:rPr>
      <w:sz w:val="16"/>
      <w:szCs w:val="16"/>
    </w:rPr>
  </w:style>
  <w:style w:type="paragraph" w:styleId="CommentText">
    <w:name w:val="annotation text"/>
    <w:basedOn w:val="Normal"/>
    <w:link w:val="CommentTextChar"/>
    <w:uiPriority w:val="99"/>
    <w:unhideWhenUsed/>
    <w:rsid w:val="007B2973"/>
    <w:pPr>
      <w:spacing w:line="240" w:lineRule="auto"/>
    </w:pPr>
    <w:rPr>
      <w:sz w:val="20"/>
      <w:szCs w:val="20"/>
    </w:rPr>
  </w:style>
  <w:style w:type="character" w:customStyle="1" w:styleId="CommentTextChar">
    <w:name w:val="Comment Text Char"/>
    <w:basedOn w:val="DefaultParagraphFont"/>
    <w:link w:val="CommentText"/>
    <w:uiPriority w:val="99"/>
    <w:rsid w:val="007B2973"/>
    <w:rPr>
      <w:sz w:val="20"/>
      <w:szCs w:val="20"/>
    </w:rPr>
  </w:style>
  <w:style w:type="paragraph" w:styleId="CommentSubject">
    <w:name w:val="annotation subject"/>
    <w:basedOn w:val="CommentText"/>
    <w:next w:val="CommentText"/>
    <w:link w:val="CommentSubjectChar"/>
    <w:uiPriority w:val="99"/>
    <w:semiHidden/>
    <w:unhideWhenUsed/>
    <w:rsid w:val="007B2973"/>
    <w:rPr>
      <w:b/>
      <w:bCs/>
    </w:rPr>
  </w:style>
  <w:style w:type="character" w:customStyle="1" w:styleId="CommentSubjectChar">
    <w:name w:val="Comment Subject Char"/>
    <w:basedOn w:val="CommentTextChar"/>
    <w:link w:val="CommentSubject"/>
    <w:uiPriority w:val="99"/>
    <w:semiHidden/>
    <w:rsid w:val="007B2973"/>
    <w:rPr>
      <w:b/>
      <w:bCs/>
      <w:sz w:val="20"/>
      <w:szCs w:val="20"/>
    </w:rPr>
  </w:style>
  <w:style w:type="paragraph" w:styleId="BalloonText">
    <w:name w:val="Balloon Text"/>
    <w:basedOn w:val="Normal"/>
    <w:link w:val="BalloonTextChar"/>
    <w:uiPriority w:val="99"/>
    <w:semiHidden/>
    <w:unhideWhenUsed/>
    <w:rsid w:val="007B2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973"/>
    <w:rPr>
      <w:rFonts w:ascii="Segoe UI" w:hAnsi="Segoe UI" w:cs="Segoe UI"/>
      <w:sz w:val="18"/>
      <w:szCs w:val="18"/>
    </w:rPr>
  </w:style>
  <w:style w:type="paragraph" w:styleId="TOCHeading">
    <w:name w:val="TOC Heading"/>
    <w:basedOn w:val="Heading1"/>
    <w:next w:val="Normal"/>
    <w:uiPriority w:val="39"/>
    <w:unhideWhenUsed/>
    <w:qFormat/>
    <w:rsid w:val="00162F85"/>
    <w:pPr>
      <w:outlineLvl w:val="9"/>
    </w:pPr>
  </w:style>
  <w:style w:type="paragraph" w:customStyle="1" w:styleId="Default">
    <w:name w:val="Default"/>
    <w:rsid w:val="007B2973"/>
    <w:pPr>
      <w:autoSpaceDE w:val="0"/>
      <w:autoSpaceDN w:val="0"/>
      <w:adjustRightInd w:val="0"/>
      <w:spacing w:after="0" w:line="240" w:lineRule="auto"/>
    </w:pPr>
    <w:rPr>
      <w:rFonts w:ascii="Calibri" w:hAnsi="Calibri" w:cs="Calibri"/>
      <w:color w:val="000000"/>
      <w:sz w:val="24"/>
      <w:szCs w:val="24"/>
      <w:lang w:val="es-MX"/>
    </w:rPr>
  </w:style>
  <w:style w:type="paragraph" w:styleId="TOC1">
    <w:name w:val="toc 1"/>
    <w:basedOn w:val="Normal"/>
    <w:next w:val="Normal"/>
    <w:autoRedefine/>
    <w:uiPriority w:val="39"/>
    <w:unhideWhenUsed/>
    <w:rsid w:val="007B2973"/>
    <w:pPr>
      <w:spacing w:after="100"/>
    </w:pPr>
  </w:style>
  <w:style w:type="paragraph" w:styleId="TOC2">
    <w:name w:val="toc 2"/>
    <w:basedOn w:val="Normal"/>
    <w:next w:val="Normal"/>
    <w:autoRedefine/>
    <w:uiPriority w:val="39"/>
    <w:unhideWhenUsed/>
    <w:rsid w:val="001271B6"/>
    <w:pPr>
      <w:tabs>
        <w:tab w:val="left" w:pos="660"/>
        <w:tab w:val="right" w:leader="dot" w:pos="9204"/>
      </w:tabs>
      <w:spacing w:after="100"/>
      <w:ind w:left="220"/>
    </w:pPr>
    <w:rPr>
      <w:rFonts w:ascii="Calibri" w:eastAsia="Calibri" w:hAnsi="Calibri" w:cstheme="majorHAnsi"/>
      <w:b/>
      <w:bCs/>
      <w:noProof/>
    </w:rPr>
  </w:style>
  <w:style w:type="character" w:styleId="Strong">
    <w:name w:val="Strong"/>
    <w:basedOn w:val="DefaultParagraphFont"/>
    <w:uiPriority w:val="22"/>
    <w:qFormat/>
    <w:rsid w:val="00162F85"/>
    <w:rPr>
      <w:b/>
      <w:bCs/>
    </w:rPr>
  </w:style>
  <w:style w:type="paragraph" w:styleId="TOC3">
    <w:name w:val="toc 3"/>
    <w:basedOn w:val="Normal"/>
    <w:next w:val="Normal"/>
    <w:autoRedefine/>
    <w:uiPriority w:val="39"/>
    <w:unhideWhenUsed/>
    <w:rsid w:val="007B2973"/>
    <w:pPr>
      <w:spacing w:after="100"/>
      <w:ind w:left="440"/>
    </w:pPr>
  </w:style>
  <w:style w:type="character" w:customStyle="1" w:styleId="a">
    <w:name w:val="Основной текст_"/>
    <w:basedOn w:val="DefaultParagraphFont"/>
    <w:link w:val="1"/>
    <w:rsid w:val="007B2973"/>
    <w:rPr>
      <w:rFonts w:ascii="Arial" w:eastAsia="Arial" w:hAnsi="Arial" w:cs="Arial"/>
      <w:sz w:val="21"/>
      <w:szCs w:val="21"/>
      <w:shd w:val="clear" w:color="auto" w:fill="FFFFFF"/>
    </w:rPr>
  </w:style>
  <w:style w:type="paragraph" w:customStyle="1" w:styleId="1">
    <w:name w:val="Основной текст1"/>
    <w:basedOn w:val="Normal"/>
    <w:link w:val="a"/>
    <w:rsid w:val="007B2973"/>
    <w:pPr>
      <w:widowControl w:val="0"/>
      <w:shd w:val="clear" w:color="auto" w:fill="FFFFFF"/>
      <w:spacing w:before="480" w:after="0" w:line="414" w:lineRule="exact"/>
      <w:ind w:hanging="1160"/>
      <w:jc w:val="both"/>
    </w:pPr>
    <w:rPr>
      <w:rFonts w:ascii="Arial" w:eastAsia="Arial" w:hAnsi="Arial" w:cs="Arial"/>
      <w:sz w:val="21"/>
      <w:szCs w:val="21"/>
    </w:rPr>
  </w:style>
  <w:style w:type="paragraph" w:styleId="NoSpacing">
    <w:name w:val="No Spacing"/>
    <w:link w:val="NoSpacingChar"/>
    <w:uiPriority w:val="1"/>
    <w:qFormat/>
    <w:rsid w:val="00162F85"/>
    <w:pPr>
      <w:spacing w:after="0" w:line="240" w:lineRule="auto"/>
    </w:pPr>
  </w:style>
  <w:style w:type="character" w:customStyle="1" w:styleId="NoSpacingChar">
    <w:name w:val="No Spacing Char"/>
    <w:basedOn w:val="DefaultParagraphFont"/>
    <w:link w:val="NoSpacing"/>
    <w:uiPriority w:val="1"/>
    <w:rsid w:val="00003062"/>
  </w:style>
  <w:style w:type="character" w:customStyle="1" w:styleId="Textodemarcadordeposicin">
    <w:name w:val="Texto de marcador de posición"/>
    <w:basedOn w:val="DefaultParagraphFont"/>
    <w:uiPriority w:val="99"/>
    <w:semiHidden/>
    <w:rsid w:val="00B5456E"/>
    <w:rPr>
      <w:color w:val="808080"/>
    </w:rPr>
  </w:style>
  <w:style w:type="character" w:styleId="UnresolvedMention">
    <w:name w:val="Unresolved Mention"/>
    <w:basedOn w:val="DefaultParagraphFont"/>
    <w:uiPriority w:val="99"/>
    <w:semiHidden/>
    <w:unhideWhenUsed/>
    <w:rsid w:val="00E37825"/>
    <w:rPr>
      <w:color w:val="605E5C"/>
      <w:shd w:val="clear" w:color="auto" w:fill="E1DFDD"/>
    </w:rPr>
  </w:style>
  <w:style w:type="paragraph" w:styleId="Caption">
    <w:name w:val="caption"/>
    <w:basedOn w:val="Normal"/>
    <w:next w:val="Normal"/>
    <w:uiPriority w:val="35"/>
    <w:unhideWhenUsed/>
    <w:qFormat/>
    <w:rsid w:val="00162F85"/>
    <w:pPr>
      <w:spacing w:line="240" w:lineRule="auto"/>
    </w:pPr>
    <w:rPr>
      <w:b/>
      <w:bCs/>
      <w:smallCaps/>
      <w:color w:val="242852" w:themeColor="text2"/>
    </w:rPr>
  </w:style>
  <w:style w:type="character" w:customStyle="1" w:styleId="TitleChar">
    <w:name w:val="Title Char"/>
    <w:basedOn w:val="DefaultParagraphFont"/>
    <w:link w:val="Title"/>
    <w:uiPriority w:val="10"/>
    <w:rsid w:val="00162F85"/>
    <w:rPr>
      <w:rFonts w:asciiTheme="majorHAnsi" w:eastAsiaTheme="majorEastAsia" w:hAnsiTheme="majorHAnsi" w:cstheme="majorBidi"/>
      <w:caps/>
      <w:color w:val="242852" w:themeColor="text2"/>
      <w:spacing w:val="-15"/>
      <w:sz w:val="72"/>
      <w:szCs w:val="72"/>
    </w:rPr>
  </w:style>
  <w:style w:type="paragraph" w:styleId="Subtitle">
    <w:name w:val="Subtitle"/>
    <w:basedOn w:val="Normal"/>
    <w:next w:val="Normal"/>
    <w:link w:val="SubtitleChar"/>
    <w:uiPriority w:val="11"/>
    <w:qFormat/>
    <w:pPr>
      <w:spacing w:after="240" w:line="240" w:lineRule="auto"/>
    </w:pPr>
    <w:rPr>
      <w:color w:val="4A66AC"/>
      <w:sz w:val="28"/>
      <w:szCs w:val="28"/>
    </w:rPr>
  </w:style>
  <w:style w:type="character" w:customStyle="1" w:styleId="SubtitleChar">
    <w:name w:val="Subtitle Char"/>
    <w:basedOn w:val="DefaultParagraphFont"/>
    <w:link w:val="Subtitle"/>
    <w:uiPriority w:val="11"/>
    <w:rsid w:val="00162F85"/>
    <w:rPr>
      <w:rFonts w:asciiTheme="majorHAnsi" w:eastAsiaTheme="majorEastAsia" w:hAnsiTheme="majorHAnsi" w:cstheme="majorBidi"/>
      <w:color w:val="4A66AC" w:themeColor="accent1"/>
      <w:sz w:val="28"/>
      <w:szCs w:val="28"/>
    </w:rPr>
  </w:style>
  <w:style w:type="character" w:styleId="Emphasis">
    <w:name w:val="Emphasis"/>
    <w:basedOn w:val="DefaultParagraphFont"/>
    <w:uiPriority w:val="20"/>
    <w:qFormat/>
    <w:rsid w:val="00162F85"/>
    <w:rPr>
      <w:i/>
      <w:iCs/>
    </w:rPr>
  </w:style>
  <w:style w:type="paragraph" w:styleId="Quote">
    <w:name w:val="Quote"/>
    <w:basedOn w:val="Normal"/>
    <w:next w:val="Normal"/>
    <w:link w:val="QuoteChar"/>
    <w:uiPriority w:val="29"/>
    <w:qFormat/>
    <w:rsid w:val="00162F85"/>
    <w:pPr>
      <w:spacing w:before="120" w:after="120"/>
      <w:ind w:left="720"/>
    </w:pPr>
    <w:rPr>
      <w:color w:val="242852" w:themeColor="text2"/>
      <w:sz w:val="24"/>
      <w:szCs w:val="24"/>
    </w:rPr>
  </w:style>
  <w:style w:type="character" w:customStyle="1" w:styleId="QuoteChar">
    <w:name w:val="Quote Char"/>
    <w:basedOn w:val="DefaultParagraphFont"/>
    <w:link w:val="Quote"/>
    <w:uiPriority w:val="29"/>
    <w:rsid w:val="00162F85"/>
    <w:rPr>
      <w:color w:val="242852" w:themeColor="text2"/>
      <w:sz w:val="24"/>
      <w:szCs w:val="24"/>
    </w:rPr>
  </w:style>
  <w:style w:type="paragraph" w:styleId="IntenseQuote">
    <w:name w:val="Intense Quote"/>
    <w:basedOn w:val="Normal"/>
    <w:next w:val="Normal"/>
    <w:link w:val="IntenseQuoteChar"/>
    <w:uiPriority w:val="30"/>
    <w:qFormat/>
    <w:rsid w:val="00162F85"/>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IntenseQuoteChar">
    <w:name w:val="Intense Quote Char"/>
    <w:basedOn w:val="DefaultParagraphFont"/>
    <w:link w:val="IntenseQuote"/>
    <w:uiPriority w:val="30"/>
    <w:rsid w:val="00162F85"/>
    <w:rPr>
      <w:rFonts w:asciiTheme="majorHAnsi" w:eastAsiaTheme="majorEastAsia" w:hAnsiTheme="majorHAnsi" w:cstheme="majorBidi"/>
      <w:color w:val="242852" w:themeColor="text2"/>
      <w:spacing w:val="-6"/>
      <w:sz w:val="32"/>
      <w:szCs w:val="32"/>
    </w:rPr>
  </w:style>
  <w:style w:type="character" w:styleId="SubtleEmphasis">
    <w:name w:val="Subtle Emphasis"/>
    <w:basedOn w:val="DefaultParagraphFont"/>
    <w:uiPriority w:val="19"/>
    <w:qFormat/>
    <w:rsid w:val="00162F85"/>
    <w:rPr>
      <w:i/>
      <w:iCs/>
      <w:color w:val="595959" w:themeColor="text1" w:themeTint="A6"/>
    </w:rPr>
  </w:style>
  <w:style w:type="character" w:styleId="IntenseEmphasis">
    <w:name w:val="Intense Emphasis"/>
    <w:basedOn w:val="DefaultParagraphFont"/>
    <w:uiPriority w:val="21"/>
    <w:qFormat/>
    <w:rsid w:val="00162F85"/>
    <w:rPr>
      <w:b/>
      <w:bCs/>
      <w:i/>
      <w:iCs/>
    </w:rPr>
  </w:style>
  <w:style w:type="character" w:styleId="SubtleReference">
    <w:name w:val="Subtle Reference"/>
    <w:basedOn w:val="DefaultParagraphFont"/>
    <w:uiPriority w:val="31"/>
    <w:qFormat/>
    <w:rsid w:val="00162F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62F85"/>
    <w:rPr>
      <w:b/>
      <w:bCs/>
      <w:smallCaps/>
      <w:color w:val="242852" w:themeColor="text2"/>
      <w:u w:val="single"/>
    </w:rPr>
  </w:style>
  <w:style w:type="character" w:styleId="BookTitle">
    <w:name w:val="Book Title"/>
    <w:basedOn w:val="DefaultParagraphFont"/>
    <w:uiPriority w:val="33"/>
    <w:qFormat/>
    <w:rsid w:val="00162F85"/>
    <w:rPr>
      <w:b/>
      <w:bCs/>
      <w:smallCaps/>
      <w:spacing w:val="10"/>
    </w:rPr>
  </w:style>
  <w:style w:type="paragraph" w:styleId="Revision">
    <w:name w:val="Revision"/>
    <w:hidden/>
    <w:uiPriority w:val="99"/>
    <w:semiHidden/>
    <w:rsid w:val="003F1182"/>
    <w:pPr>
      <w:spacing w:after="0" w:line="240" w:lineRule="auto"/>
    </w:pPr>
  </w:style>
  <w:style w:type="paragraph" w:styleId="NormalWeb">
    <w:name w:val="Normal (Web)"/>
    <w:basedOn w:val="Normal"/>
    <w:uiPriority w:val="99"/>
    <w:semiHidden/>
    <w:unhideWhenUsed/>
    <w:rsid w:val="000F6926"/>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customStyle="1" w:styleId="Style1">
    <w:name w:val="Style1"/>
    <w:basedOn w:val="TableNormal"/>
    <w:uiPriority w:val="99"/>
    <w:rsid w:val="004A158F"/>
    <w:pPr>
      <w:spacing w:after="0" w:line="240" w:lineRule="auto"/>
    </w:pPr>
    <w:rPr>
      <w:rFonts w:ascii="Arial" w:hAnsi="Arial"/>
    </w:rPr>
    <w:tblPr/>
  </w:style>
  <w:style w:type="paragraph" w:styleId="TableofFigures">
    <w:name w:val="table of figures"/>
    <w:basedOn w:val="Normal"/>
    <w:next w:val="Normal"/>
    <w:uiPriority w:val="99"/>
    <w:unhideWhenUsed/>
    <w:rsid w:val="003121A7"/>
    <w:pPr>
      <w:spacing w:after="0"/>
    </w:pPr>
  </w:style>
  <w:style w:type="paragraph" w:styleId="Index1">
    <w:name w:val="index 1"/>
    <w:basedOn w:val="Normal"/>
    <w:next w:val="Normal"/>
    <w:autoRedefine/>
    <w:uiPriority w:val="99"/>
    <w:unhideWhenUsed/>
    <w:rsid w:val="003121A7"/>
    <w:pPr>
      <w:spacing w:after="0"/>
      <w:ind w:left="220" w:hanging="220"/>
    </w:pPr>
    <w:rPr>
      <w:sz w:val="18"/>
      <w:szCs w:val="18"/>
    </w:rPr>
  </w:style>
  <w:style w:type="paragraph" w:styleId="Index2">
    <w:name w:val="index 2"/>
    <w:basedOn w:val="Normal"/>
    <w:next w:val="Normal"/>
    <w:autoRedefine/>
    <w:uiPriority w:val="99"/>
    <w:unhideWhenUsed/>
    <w:rsid w:val="003121A7"/>
    <w:pPr>
      <w:spacing w:after="0"/>
      <w:ind w:left="440" w:hanging="220"/>
    </w:pPr>
    <w:rPr>
      <w:sz w:val="18"/>
      <w:szCs w:val="18"/>
    </w:rPr>
  </w:style>
  <w:style w:type="paragraph" w:styleId="Index3">
    <w:name w:val="index 3"/>
    <w:basedOn w:val="Normal"/>
    <w:next w:val="Normal"/>
    <w:autoRedefine/>
    <w:uiPriority w:val="99"/>
    <w:unhideWhenUsed/>
    <w:rsid w:val="003121A7"/>
    <w:pPr>
      <w:spacing w:after="0"/>
      <w:ind w:left="660" w:hanging="220"/>
    </w:pPr>
    <w:rPr>
      <w:sz w:val="18"/>
      <w:szCs w:val="18"/>
    </w:rPr>
  </w:style>
  <w:style w:type="paragraph" w:styleId="Index4">
    <w:name w:val="index 4"/>
    <w:basedOn w:val="Normal"/>
    <w:next w:val="Normal"/>
    <w:autoRedefine/>
    <w:uiPriority w:val="99"/>
    <w:unhideWhenUsed/>
    <w:rsid w:val="003121A7"/>
    <w:pPr>
      <w:spacing w:after="0"/>
      <w:ind w:left="880" w:hanging="220"/>
    </w:pPr>
    <w:rPr>
      <w:sz w:val="18"/>
      <w:szCs w:val="18"/>
    </w:rPr>
  </w:style>
  <w:style w:type="paragraph" w:styleId="Index5">
    <w:name w:val="index 5"/>
    <w:basedOn w:val="Normal"/>
    <w:next w:val="Normal"/>
    <w:autoRedefine/>
    <w:uiPriority w:val="99"/>
    <w:unhideWhenUsed/>
    <w:rsid w:val="003121A7"/>
    <w:pPr>
      <w:spacing w:after="0"/>
      <w:ind w:left="1100" w:hanging="220"/>
    </w:pPr>
    <w:rPr>
      <w:sz w:val="18"/>
      <w:szCs w:val="18"/>
    </w:rPr>
  </w:style>
  <w:style w:type="paragraph" w:styleId="Index6">
    <w:name w:val="index 6"/>
    <w:basedOn w:val="Normal"/>
    <w:next w:val="Normal"/>
    <w:autoRedefine/>
    <w:uiPriority w:val="99"/>
    <w:unhideWhenUsed/>
    <w:rsid w:val="003121A7"/>
    <w:pPr>
      <w:spacing w:after="0"/>
      <w:ind w:left="1320" w:hanging="220"/>
    </w:pPr>
    <w:rPr>
      <w:sz w:val="18"/>
      <w:szCs w:val="18"/>
    </w:rPr>
  </w:style>
  <w:style w:type="paragraph" w:styleId="Index7">
    <w:name w:val="index 7"/>
    <w:basedOn w:val="Normal"/>
    <w:next w:val="Normal"/>
    <w:autoRedefine/>
    <w:uiPriority w:val="99"/>
    <w:unhideWhenUsed/>
    <w:rsid w:val="003121A7"/>
    <w:pPr>
      <w:spacing w:after="0"/>
      <w:ind w:left="1540" w:hanging="220"/>
    </w:pPr>
    <w:rPr>
      <w:sz w:val="18"/>
      <w:szCs w:val="18"/>
    </w:rPr>
  </w:style>
  <w:style w:type="paragraph" w:styleId="Index8">
    <w:name w:val="index 8"/>
    <w:basedOn w:val="Normal"/>
    <w:next w:val="Normal"/>
    <w:autoRedefine/>
    <w:uiPriority w:val="99"/>
    <w:unhideWhenUsed/>
    <w:rsid w:val="003121A7"/>
    <w:pPr>
      <w:spacing w:after="0"/>
      <w:ind w:left="1760" w:hanging="220"/>
    </w:pPr>
    <w:rPr>
      <w:sz w:val="18"/>
      <w:szCs w:val="18"/>
    </w:rPr>
  </w:style>
  <w:style w:type="paragraph" w:styleId="Index9">
    <w:name w:val="index 9"/>
    <w:basedOn w:val="Normal"/>
    <w:next w:val="Normal"/>
    <w:autoRedefine/>
    <w:uiPriority w:val="99"/>
    <w:unhideWhenUsed/>
    <w:rsid w:val="003121A7"/>
    <w:pPr>
      <w:spacing w:after="0"/>
      <w:ind w:left="1980" w:hanging="220"/>
    </w:pPr>
    <w:rPr>
      <w:sz w:val="18"/>
      <w:szCs w:val="18"/>
    </w:rPr>
  </w:style>
  <w:style w:type="paragraph" w:styleId="IndexHeading">
    <w:name w:val="index heading"/>
    <w:basedOn w:val="Normal"/>
    <w:next w:val="Index1"/>
    <w:uiPriority w:val="99"/>
    <w:unhideWhenUsed/>
    <w:rsid w:val="003121A7"/>
    <w:pPr>
      <w:spacing w:before="240" w:after="120"/>
      <w:jc w:val="center"/>
    </w:pPr>
    <w:rPr>
      <w:b/>
      <w:bCs/>
      <w:sz w:val="26"/>
      <w:szCs w:val="26"/>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rPr>
      <w:rFonts w:ascii="Arial" w:eastAsia="Arial" w:hAnsi="Arial" w:cs="Arial"/>
    </w:rPr>
    <w:tblPr>
      <w:tblStyleRowBandSize w:val="1"/>
      <w:tblStyleColBandSize w:val="1"/>
    </w:tblPr>
  </w:style>
  <w:style w:type="table" w:customStyle="1" w:styleId="a3">
    <w:basedOn w:val="TableNormal"/>
    <w:pPr>
      <w:spacing w:after="0" w:line="240" w:lineRule="auto"/>
    </w:pPr>
    <w:rPr>
      <w:rFonts w:ascii="Arial" w:eastAsia="Arial" w:hAnsi="Arial" w:cs="Arial"/>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FootnoteText">
    <w:name w:val="footnote text"/>
    <w:basedOn w:val="Normal"/>
    <w:link w:val="FootnoteTextChar"/>
    <w:uiPriority w:val="99"/>
    <w:semiHidden/>
    <w:unhideWhenUsed/>
    <w:rsid w:val="001151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51C3"/>
    <w:rPr>
      <w:sz w:val="20"/>
      <w:szCs w:val="20"/>
    </w:rPr>
  </w:style>
  <w:style w:type="character" w:styleId="FootnoteReference">
    <w:name w:val="footnote reference"/>
    <w:basedOn w:val="DefaultParagraphFont"/>
    <w:uiPriority w:val="99"/>
    <w:semiHidden/>
    <w:unhideWhenUsed/>
    <w:rsid w:val="00115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5457">
      <w:bodyDiv w:val="1"/>
      <w:marLeft w:val="0"/>
      <w:marRight w:val="0"/>
      <w:marTop w:val="0"/>
      <w:marBottom w:val="0"/>
      <w:divBdr>
        <w:top w:val="none" w:sz="0" w:space="0" w:color="auto"/>
        <w:left w:val="none" w:sz="0" w:space="0" w:color="auto"/>
        <w:bottom w:val="none" w:sz="0" w:space="0" w:color="auto"/>
        <w:right w:val="none" w:sz="0" w:space="0" w:color="auto"/>
      </w:divBdr>
      <w:divsChild>
        <w:div w:id="522983325">
          <w:marLeft w:val="0"/>
          <w:marRight w:val="0"/>
          <w:marTop w:val="0"/>
          <w:marBottom w:val="0"/>
          <w:divBdr>
            <w:top w:val="none" w:sz="0" w:space="0" w:color="auto"/>
            <w:left w:val="none" w:sz="0" w:space="0" w:color="auto"/>
            <w:bottom w:val="none" w:sz="0" w:space="0" w:color="auto"/>
            <w:right w:val="none" w:sz="0" w:space="0" w:color="auto"/>
          </w:divBdr>
          <w:divsChild>
            <w:div w:id="1305238532">
              <w:marLeft w:val="0"/>
              <w:marRight w:val="0"/>
              <w:marTop w:val="0"/>
              <w:marBottom w:val="0"/>
              <w:divBdr>
                <w:top w:val="none" w:sz="0" w:space="0" w:color="auto"/>
                <w:left w:val="none" w:sz="0" w:space="0" w:color="auto"/>
                <w:bottom w:val="none" w:sz="0" w:space="0" w:color="auto"/>
                <w:right w:val="none" w:sz="0" w:space="0" w:color="auto"/>
              </w:divBdr>
              <w:divsChild>
                <w:div w:id="260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1708">
          <w:marLeft w:val="0"/>
          <w:marRight w:val="0"/>
          <w:marTop w:val="0"/>
          <w:marBottom w:val="0"/>
          <w:divBdr>
            <w:top w:val="none" w:sz="0" w:space="0" w:color="auto"/>
            <w:left w:val="none" w:sz="0" w:space="0" w:color="auto"/>
            <w:bottom w:val="none" w:sz="0" w:space="0" w:color="auto"/>
            <w:right w:val="none" w:sz="0" w:space="0" w:color="auto"/>
          </w:divBdr>
          <w:divsChild>
            <w:div w:id="2025207925">
              <w:marLeft w:val="0"/>
              <w:marRight w:val="0"/>
              <w:marTop w:val="0"/>
              <w:marBottom w:val="0"/>
              <w:divBdr>
                <w:top w:val="none" w:sz="0" w:space="0" w:color="auto"/>
                <w:left w:val="none" w:sz="0" w:space="0" w:color="auto"/>
                <w:bottom w:val="none" w:sz="0" w:space="0" w:color="auto"/>
                <w:right w:val="none" w:sz="0" w:space="0" w:color="auto"/>
              </w:divBdr>
              <w:divsChild>
                <w:div w:id="1964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9278">
      <w:bodyDiv w:val="1"/>
      <w:marLeft w:val="0"/>
      <w:marRight w:val="0"/>
      <w:marTop w:val="0"/>
      <w:marBottom w:val="0"/>
      <w:divBdr>
        <w:top w:val="none" w:sz="0" w:space="0" w:color="auto"/>
        <w:left w:val="none" w:sz="0" w:space="0" w:color="auto"/>
        <w:bottom w:val="none" w:sz="0" w:space="0" w:color="auto"/>
        <w:right w:val="none" w:sz="0" w:space="0" w:color="auto"/>
      </w:divBdr>
      <w:divsChild>
        <w:div w:id="954604604">
          <w:marLeft w:val="0"/>
          <w:marRight w:val="0"/>
          <w:marTop w:val="0"/>
          <w:marBottom w:val="0"/>
          <w:divBdr>
            <w:top w:val="none" w:sz="0" w:space="0" w:color="auto"/>
            <w:left w:val="none" w:sz="0" w:space="0" w:color="auto"/>
            <w:bottom w:val="none" w:sz="0" w:space="0" w:color="auto"/>
            <w:right w:val="none" w:sz="0" w:space="0" w:color="auto"/>
          </w:divBdr>
          <w:divsChild>
            <w:div w:id="379284799">
              <w:marLeft w:val="0"/>
              <w:marRight w:val="0"/>
              <w:marTop w:val="0"/>
              <w:marBottom w:val="0"/>
              <w:divBdr>
                <w:top w:val="none" w:sz="0" w:space="0" w:color="auto"/>
                <w:left w:val="none" w:sz="0" w:space="0" w:color="auto"/>
                <w:bottom w:val="none" w:sz="0" w:space="0" w:color="auto"/>
                <w:right w:val="none" w:sz="0" w:space="0" w:color="auto"/>
              </w:divBdr>
              <w:divsChild>
                <w:div w:id="6181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4379">
          <w:marLeft w:val="0"/>
          <w:marRight w:val="0"/>
          <w:marTop w:val="0"/>
          <w:marBottom w:val="0"/>
          <w:divBdr>
            <w:top w:val="none" w:sz="0" w:space="0" w:color="auto"/>
            <w:left w:val="none" w:sz="0" w:space="0" w:color="auto"/>
            <w:bottom w:val="none" w:sz="0" w:space="0" w:color="auto"/>
            <w:right w:val="none" w:sz="0" w:space="0" w:color="auto"/>
          </w:divBdr>
          <w:divsChild>
            <w:div w:id="870919973">
              <w:marLeft w:val="0"/>
              <w:marRight w:val="0"/>
              <w:marTop w:val="0"/>
              <w:marBottom w:val="0"/>
              <w:divBdr>
                <w:top w:val="none" w:sz="0" w:space="0" w:color="auto"/>
                <w:left w:val="none" w:sz="0" w:space="0" w:color="auto"/>
                <w:bottom w:val="none" w:sz="0" w:space="0" w:color="auto"/>
                <w:right w:val="none" w:sz="0" w:space="0" w:color="auto"/>
              </w:divBdr>
              <w:divsChild>
                <w:div w:id="11028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on bandas">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iIphnNkNAY7AIwJCEKNYFMn7g==">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</go:docsCustomData>
</go:gDocsCustomXmlDataStorage>
</file>

<file path=customXml/itemProps1.xml><?xml version="1.0" encoding="utf-8"?>
<ds:datastoreItem xmlns:ds="http://schemas.openxmlformats.org/officeDocument/2006/customXml" ds:itemID="{97335C6E-7AB2-5649-A003-BD99CBF3D1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13863</Words>
  <Characters>79023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Roberto Castañeda</dc:creator>
  <cp:lastModifiedBy>José Roberto Castañeda</cp:lastModifiedBy>
  <cp:revision>2</cp:revision>
  <dcterms:created xsi:type="dcterms:W3CDTF">2024-09-12T20:21:00Z</dcterms:created>
  <dcterms:modified xsi:type="dcterms:W3CDTF">2024-09-12T20:21:00Z</dcterms:modified>
</cp:coreProperties>
</file>