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potPin = A0;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potValue =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Serial.begin(9600);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potValue = analogRead(A1);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Serial.println(potValue);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delay(100); 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ledPin = 9;          // Pino do LED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ledBrightness = 0;   // Brilho do LED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bool useSerialInput = false; // Flag para usar valor do Serial Monitor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Serial.begin(9600); // Inicia comunicação serial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if (Serial.available() &gt; 0)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String receivedData = Serial.readStringUntil('\n'); // Lê dados até '\n'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receivedValue = receivedData.toInt();          // Converte para inteiro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Serial.println(receivedValue);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Valida o valor recebido e ajusta o brilho do LED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(receivedValue &gt;= 0 &amp;&amp; receivedValue &lt;= 255)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ledBrightness = receivedValue;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useSerialInput = true; // Prioriza o valor recebido pelo serial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Ajusta o brilho do LED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analogWrite(ledPin, ledBrightness);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Retorna ao controle do potenciômetro quando a entrada não é recebida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if (!Serial.available() &amp;&amp; !useSerialInput)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Nenhuma entrada do Serial Monitor, a intensidade segue o potenciômetro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ledBrightness = map(analogRead(A0), 0, 1023, 0, 255); // Ajuste via potenciômetro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analogWrite(ledPin, ledBrightness);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