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line="360" w:lineRule="auto"/>
        <w:jc w:val="center"/>
      </w:pPr>
      <w:r>
        <w:rPr>
          <w:rFonts w:ascii="Times New Roman" w:hAnsi="Times New Roman"/>
          <w:b w:val="0"/>
          <w:i w:val="0"/>
          <w:sz w:val="24"/>
        </w:rPr>
        <w:t>República Bolivariana de Venezuela</w:t>
      </w:r>
    </w:p>
    <w:p>
      <w:pPr>
        <w:spacing w:after="0" w:line="360" w:lineRule="auto"/>
        <w:jc w:val="center"/>
      </w:pPr>
      <w:r>
        <w:rPr>
          <w:rFonts w:ascii="Times New Roman" w:hAnsi="Times New Roman"/>
          <w:b w:val="0"/>
          <w:i w:val="0"/>
          <w:sz w:val="24"/>
        </w:rPr>
        <w:t>Ministerio del Poder Popular para la Educación Universitaria</w:t>
      </w:r>
    </w:p>
    <w:p>
      <w:pPr>
        <w:spacing w:after="0" w:line="360" w:lineRule="auto"/>
        <w:jc w:val="center"/>
      </w:pPr>
      <w:r>
        <w:rPr>
          <w:rFonts w:ascii="Times New Roman" w:hAnsi="Times New Roman"/>
          <w:b w:val="0"/>
          <w:i w:val="0"/>
          <w:sz w:val="24"/>
        </w:rPr>
        <w:t>Instituto Universitario de Tecnología</w:t>
      </w:r>
    </w:p>
    <w:p>
      <w:pPr>
        <w:spacing w:after="0" w:line="360" w:lineRule="auto"/>
        <w:jc w:val="center"/>
      </w:pPr>
      <w:r>
        <w:rPr>
          <w:rFonts w:ascii="Times New Roman" w:hAnsi="Times New Roman"/>
          <w:b w:val="0"/>
          <w:i w:val="0"/>
          <w:sz w:val="24"/>
        </w:rPr>
        <w:t>"Elías Calixto Pompa"</w:t>
      </w:r>
    </w:p>
    <w:p>
      <w:pPr>
        <w:spacing w:after="0" w:line="360" w:lineRule="auto"/>
        <w:jc w:val="center"/>
      </w:pPr>
      <w:r>
        <w:rPr>
          <w:rFonts w:ascii="Times New Roman" w:hAnsi="Times New Roman"/>
          <w:b w:val="0"/>
          <w:i w:val="0"/>
          <w:sz w:val="24"/>
        </w:rPr>
        <w:t>El Tigre – Anzoátegui</w:t>
      </w:r>
    </w:p>
    <w:p>
      <w:pPr>
        <w:spacing w:line="360" w:lineRule="auto" w:before="0" w:after="0"/>
        <w:ind w:firstLine="0"/>
        <w:jc w:val="both"/>
      </w:pPr>
    </w:p>
    <w:p>
      <w:pPr>
        <w:spacing w:line="360" w:lineRule="auto" w:before="0" w:after="0"/>
        <w:ind w:firstLine="0"/>
        <w:jc w:val="both"/>
      </w:pPr>
    </w:p>
    <w:p>
      <w:pPr>
        <w:spacing w:line="360" w:lineRule="auto" w:before="0" w:after="0"/>
        <w:ind w:firstLine="0"/>
        <w:jc w:val="both"/>
      </w:pPr>
    </w:p>
    <w:p>
      <w:pPr>
        <w:spacing w:line="360" w:lineRule="auto" w:before="0" w:after="0"/>
        <w:ind w:firstLine="0"/>
        <w:jc w:val="both"/>
      </w:pPr>
    </w:p>
    <w:p>
      <w:pPr>
        <w:spacing w:after="0" w:line="360" w:lineRule="auto"/>
        <w:jc w:val="center"/>
      </w:pPr>
      <w:r>
        <w:rPr>
          <w:rFonts w:ascii="Times New Roman" w:hAnsi="Times New Roman"/>
          <w:b/>
          <w:sz w:val="24"/>
        </w:rPr>
        <w:t>Proceso de Atención de Enfermería Aplicado a Recién Nacido a Término con Diagnóstico de Lúes Connatal Ubicado en la Unidad de Retén / Neonatología del Hospital Dr. Felipe Guevara Rojas en el Mes de Agosto - Septiembre de 2026</w:t>
      </w:r>
    </w:p>
    <w:p>
      <w:pPr>
        <w:spacing w:line="360" w:lineRule="auto" w:before="0" w:after="0"/>
        <w:ind w:firstLine="0"/>
        <w:jc w:val="both"/>
      </w:pPr>
    </w:p>
    <w:p>
      <w:pPr>
        <w:spacing w:line="360" w:lineRule="auto" w:before="0" w:after="0"/>
        <w:ind w:firstLine="0"/>
        <w:jc w:val="both"/>
      </w:pPr>
    </w:p>
    <w:p>
      <w:pPr>
        <w:spacing w:line="360" w:lineRule="auto" w:before="0" w:after="0"/>
        <w:ind w:firstLine="0"/>
        <w:jc w:val="both"/>
      </w:pPr>
    </w:p>
    <w:p>
      <w:pPr>
        <w:spacing w:line="360" w:lineRule="auto" w:before="0" w:after="0"/>
        <w:ind w:firstLine="0"/>
        <w:jc w:val="both"/>
      </w:pPr>
    </w:p>
    <w:p>
      <w:pPr>
        <w:spacing w:line="360" w:lineRule="auto" w:before="0" w:after="0"/>
        <w:ind w:firstLine="0"/>
        <w:jc w:val="both"/>
      </w:pPr>
    </w:p>
    <w:p>
      <w:pPr>
        <w:spacing w:line="360" w:lineRule="auto" w:before="0" w:after="0"/>
        <w:ind w:firstLine="0"/>
        <w:jc w:val="both"/>
      </w:pPr>
    </w:p>
    <w:p>
      <w:pPr>
        <w:spacing w:line="360" w:lineRule="auto" w:before="0" w:after="0"/>
        <w:ind w:firstLine="0"/>
        <w:jc w:val="both"/>
      </w:pPr>
    </w:p>
    <w:p>
      <w:pPr>
        <w:spacing w:line="360" w:lineRule="auto" w:before="0" w:after="0"/>
        <w:ind w:firstLine="0"/>
        <w:jc w:val="both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tcBorders>
              <w:top w:val="none" w:sz="4" w:color="000000"/>
              <w:left w:val="none" w:sz="4" w:color="000000"/>
              <w:bottom w:val="none" w:sz="4" w:color="000000"/>
              <w:right w:val="none" w:sz="4" w:color="000000"/>
              <w:insideH w:val="none" w:sz="4" w:color="000000"/>
              <w:insideV w:val="none" w:sz="4" w:color="000000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24"/>
              </w:rPr>
              <w:t>TUTOR:</w:t>
            </w:r>
            <w:r>
              <w:br/>
            </w:r>
            <w:r>
              <w:rPr>
                <w:rFonts w:ascii="Times New Roman" w:hAnsi="Times New Roman"/>
                <w:sz w:val="24"/>
              </w:rPr>
              <w:t>Lcdo. Albys Figueroa</w:t>
            </w:r>
          </w:p>
        </w:tc>
        <w:tc>
          <w:tcPr>
            <w:tcW w:type="dxa" w:w="4680"/>
            <w:tcBorders>
              <w:top w:val="none" w:sz="4" w:color="000000"/>
              <w:left w:val="none" w:sz="4" w:color="000000"/>
              <w:bottom w:val="none" w:sz="4" w:color="000000"/>
              <w:right w:val="none" w:sz="4" w:color="000000"/>
              <w:insideH w:val="none" w:sz="4" w:color="000000"/>
              <w:insideV w:val="none" w:sz="4" w:color="000000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b/>
                <w:sz w:val="24"/>
              </w:rPr>
              <w:t>INTEGRANTES:</w:t>
            </w:r>
            <w:r>
              <w:br/>
            </w:r>
            <w:r>
              <w:rPr>
                <w:rFonts w:ascii="Times New Roman" w:hAnsi="Times New Roman"/>
                <w:sz w:val="24"/>
              </w:rPr>
              <w:t>Alrifai, Amani 31.985.794</w:t>
            </w:r>
            <w:r>
              <w:br/>
            </w:r>
            <w:r>
              <w:rPr>
                <w:rFonts w:ascii="Times New Roman" w:hAnsi="Times New Roman"/>
                <w:sz w:val="24"/>
              </w:rPr>
              <w:t>Alrifaie, Duaá 32.311.890</w:t>
            </w:r>
            <w:r>
              <w:br/>
            </w:r>
            <w:r>
              <w:rPr>
                <w:rFonts w:ascii="Times New Roman" w:hAnsi="Times New Roman"/>
                <w:sz w:val="24"/>
              </w:rPr>
              <w:t>Duerto, Raquel 32.840.310</w:t>
            </w:r>
            <w:r>
              <w:br/>
            </w:r>
            <w:r>
              <w:rPr>
                <w:rFonts w:ascii="Times New Roman" w:hAnsi="Times New Roman"/>
                <w:sz w:val="24"/>
              </w:rPr>
              <w:t>Horvarth, Ariadna 32.826.815</w:t>
            </w:r>
            <w:r>
              <w:br/>
            </w:r>
            <w:r>
              <w:rPr>
                <w:rFonts w:ascii="Times New Roman" w:hAnsi="Times New Roman"/>
                <w:sz w:val="24"/>
              </w:rPr>
              <w:t>Serra, Ashli 33.431.359</w:t>
            </w:r>
            <w:r>
              <w:br/>
            </w:r>
            <w:r>
              <w:rPr>
                <w:rFonts w:ascii="Times New Roman" w:hAnsi="Times New Roman"/>
                <w:sz w:val="24"/>
              </w:rPr>
              <w:t>Rodriguez, Valentina 30.230.010</w:t>
            </w:r>
          </w:p>
        </w:tc>
      </w:tr>
    </w:tbl>
    <w:p>
      <w:r>
        <w:br w:type="page"/>
      </w:r>
    </w:p>
    <w:p>
      <w:bookmarkStart w:id="1" w:name="bm_indice"/>
      <w:pPr>
        <w:spacing w:line="360" w:lineRule="auto" w:before="0" w:after="240"/>
        <w:ind w:firstLine="0"/>
        <w:jc w:val="center"/>
      </w:pPr>
      <w:r>
        <w:rPr>
          <w:rFonts w:ascii="Times New Roman" w:hAnsi="Times New Roman"/>
          <w:b w:val="0"/>
          <w:i w:val="0"/>
          <w:sz w:val="24"/>
        </w:rPr>
        <w:t>TABLA DE CONTENIDO</w:t>
      </w:r>
      <w:bookmarkEnd w:id="1" w:name="bm_indice"/>
    </w:p>
    <w:p>
      <w:pPr>
        <w:tabs>
          <w:tab w:pos="9360" w:val="right" w:leader="dot"/>
        </w:tabs>
        <w:spacing w:line="360" w:lineRule="auto" w:before="0" w:after="80"/>
        <w:ind w:left="0"/>
      </w:pPr>
      <w:r>
        <w:rPr>
          <w:rFonts w:ascii="Times New Roman" w:hAnsi="Times New Roman"/>
          <w:b/>
          <w:sz w:val="24"/>
        </w:rPr>
        <w:t>OBJETIVOS</w:t>
        <w:tab/>
      </w:r>
      <w:r>
        <w:rPr>
          <w:rFonts w:ascii="Times New Roman" w:hAnsi="Times New Roman"/>
          <w:b/>
          <w:sz w:val="24"/>
        </w:rPr>
        <w:fldChar w:fldCharType="begin"/>
        <w:instrText xml:space="preserve"> PAGEREF bm_objetivos \h </w:instrText>
        <w:fldChar w:fldCharType="separate"/>
        <w:t>?</w:t>
        <w:fldChar w:fldCharType="end"/>
      </w:r>
    </w:p>
    <w:p>
      <w:pPr>
        <w:tabs>
          <w:tab w:pos="9360" w:val="right" w:leader="dot"/>
        </w:tabs>
        <w:spacing w:line="360" w:lineRule="auto" w:before="0" w:after="80"/>
        <w:ind w:left="0"/>
      </w:pPr>
      <w:r>
        <w:rPr>
          <w:rFonts w:ascii="Times New Roman" w:hAnsi="Times New Roman"/>
          <w:b/>
          <w:sz w:val="24"/>
        </w:rPr>
        <w:t>HISTORIA CLÍNICA DE ENFERMERÍA</w:t>
        <w:tab/>
      </w:r>
      <w:r>
        <w:rPr>
          <w:rFonts w:ascii="Times New Roman" w:hAnsi="Times New Roman"/>
          <w:b/>
          <w:sz w:val="24"/>
        </w:rPr>
        <w:fldChar w:fldCharType="begin"/>
        <w:instrText xml:space="preserve"> PAGEREF bm_hc \h </w:instrText>
        <w:fldChar w:fldCharType="separate"/>
        <w:t>?</w:t>
        <w:fldChar w:fldCharType="end"/>
      </w:r>
    </w:p>
    <w:p>
      <w:pPr>
        <w:tabs>
          <w:tab w:pos="9360" w:val="right" w:leader="dot"/>
        </w:tabs>
        <w:spacing w:line="360" w:lineRule="auto" w:before="0" w:after="80"/>
        <w:ind w:left="0"/>
      </w:pPr>
      <w:r>
        <w:rPr>
          <w:rFonts w:ascii="Times New Roman" w:hAnsi="Times New Roman"/>
          <w:b/>
          <w:sz w:val="24"/>
        </w:rPr>
        <w:t>RESUMEN DEL CASO Y ENFERMEDAD ACTUAL</w:t>
        <w:tab/>
      </w:r>
      <w:r>
        <w:rPr>
          <w:rFonts w:ascii="Times New Roman" w:hAnsi="Times New Roman"/>
          <w:b/>
          <w:sz w:val="24"/>
        </w:rPr>
        <w:fldChar w:fldCharType="begin"/>
        <w:instrText xml:space="preserve"> PAGEREF bm_resumen \h </w:instrText>
        <w:fldChar w:fldCharType="separate"/>
        <w:t>?</w:t>
        <w:fldChar w:fldCharType="end"/>
      </w:r>
    </w:p>
    <w:p>
      <w:pPr>
        <w:tabs>
          <w:tab w:pos="9360" w:val="right" w:leader="dot"/>
        </w:tabs>
        <w:spacing w:line="360" w:lineRule="auto" w:before="0" w:after="80"/>
        <w:ind w:left="0"/>
      </w:pPr>
      <w:r>
        <w:rPr>
          <w:rFonts w:ascii="Times New Roman" w:hAnsi="Times New Roman"/>
          <w:b/>
          <w:sz w:val="24"/>
        </w:rPr>
        <w:t>EXÁMENES DE LABORATORIO Y PARACLÍNICOS</w:t>
        <w:tab/>
      </w:r>
      <w:r>
        <w:rPr>
          <w:rFonts w:ascii="Times New Roman" w:hAnsi="Times New Roman"/>
          <w:b/>
          <w:sz w:val="24"/>
        </w:rPr>
        <w:fldChar w:fldCharType="begin"/>
        <w:instrText xml:space="preserve"> PAGEREF bm_lab \h </w:instrText>
        <w:fldChar w:fldCharType="separate"/>
        <w:t>?</w:t>
        <w:fldChar w:fldCharType="end"/>
      </w:r>
    </w:p>
    <w:p>
      <w:pPr>
        <w:tabs>
          <w:tab w:pos="9360" w:val="right" w:leader="dot"/>
        </w:tabs>
        <w:spacing w:line="360" w:lineRule="auto" w:before="0" w:after="80"/>
        <w:ind w:left="0"/>
      </w:pPr>
      <w:r>
        <w:rPr>
          <w:rFonts w:ascii="Times New Roman" w:hAnsi="Times New Roman"/>
          <w:b/>
          <w:sz w:val="24"/>
        </w:rPr>
        <w:t>DIAGNÓSTICO MÉDICO</w:t>
        <w:tab/>
      </w:r>
      <w:r>
        <w:rPr>
          <w:rFonts w:ascii="Times New Roman" w:hAnsi="Times New Roman"/>
          <w:b/>
          <w:sz w:val="24"/>
        </w:rPr>
        <w:fldChar w:fldCharType="begin"/>
        <w:instrText xml:space="preserve"> PAGEREF bm_dx \h </w:instrText>
        <w:fldChar w:fldCharType="separate"/>
        <w:t>?</w:t>
        <w:fldChar w:fldCharType="end"/>
      </w:r>
    </w:p>
    <w:p>
      <w:pPr>
        <w:tabs>
          <w:tab w:pos="9360" w:val="right" w:leader="dot"/>
        </w:tabs>
        <w:spacing w:line="360" w:lineRule="auto" w:before="0" w:after="80"/>
        <w:ind w:left="0"/>
      </w:pPr>
      <w:r>
        <w:rPr>
          <w:rFonts w:ascii="Times New Roman" w:hAnsi="Times New Roman"/>
          <w:b/>
          <w:sz w:val="24"/>
        </w:rPr>
        <w:t>ANTECEDENTES PERSONALES PATOLÓGICOS</w:t>
        <w:tab/>
      </w:r>
      <w:r>
        <w:rPr>
          <w:rFonts w:ascii="Times New Roman" w:hAnsi="Times New Roman"/>
          <w:b/>
          <w:sz w:val="24"/>
        </w:rPr>
        <w:fldChar w:fldCharType="begin"/>
        <w:instrText xml:space="preserve"> PAGEREF bm_ante \h </w:instrText>
        <w:fldChar w:fldCharType="separate"/>
        <w:t>?</w:t>
        <w:fldChar w:fldCharType="end"/>
      </w:r>
    </w:p>
    <w:p>
      <w:pPr>
        <w:tabs>
          <w:tab w:pos="9360" w:val="right" w:leader="dot"/>
        </w:tabs>
        <w:spacing w:line="360" w:lineRule="auto" w:before="0" w:after="80"/>
        <w:ind w:left="0"/>
      </w:pPr>
      <w:r>
        <w:rPr>
          <w:rFonts w:ascii="Times New Roman" w:hAnsi="Times New Roman"/>
          <w:b/>
          <w:sz w:val="24"/>
        </w:rPr>
        <w:t>EXAMEN FÍSICO</w:t>
        <w:tab/>
      </w:r>
      <w:r>
        <w:rPr>
          <w:rFonts w:ascii="Times New Roman" w:hAnsi="Times New Roman"/>
          <w:b/>
          <w:sz w:val="24"/>
        </w:rPr>
        <w:fldChar w:fldCharType="begin"/>
        <w:instrText xml:space="preserve"> PAGEREF bm_examen \h </w:instrText>
        <w:fldChar w:fldCharType="separate"/>
        <w:t>?</w:t>
        <w:fldChar w:fldCharType="end"/>
      </w:r>
    </w:p>
    <w:p>
      <w:pPr>
        <w:tabs>
          <w:tab w:pos="9360" w:val="right" w:leader="dot"/>
        </w:tabs>
        <w:spacing w:line="360" w:lineRule="auto" w:before="0" w:after="80"/>
        <w:ind w:left="0"/>
      </w:pPr>
      <w:r>
        <w:rPr>
          <w:rFonts w:ascii="Times New Roman" w:hAnsi="Times New Roman"/>
          <w:b/>
          <w:sz w:val="24"/>
        </w:rPr>
        <w:t>PATRONES FUNCIONALES DE MARJORY GORDON</w:t>
        <w:tab/>
      </w:r>
      <w:r>
        <w:rPr>
          <w:rFonts w:ascii="Times New Roman" w:hAnsi="Times New Roman"/>
          <w:b/>
          <w:sz w:val="24"/>
        </w:rPr>
        <w:fldChar w:fldCharType="begin"/>
        <w:instrText xml:space="preserve"> PAGEREF bm_patrones \h </w:instrText>
        <w:fldChar w:fldCharType="separate"/>
        <w:t>?</w:t>
        <w:fldChar w:fldCharType="end"/>
      </w:r>
    </w:p>
    <w:p>
      <w:pPr>
        <w:tabs>
          <w:tab w:pos="9360" w:val="right" w:leader="dot"/>
        </w:tabs>
        <w:spacing w:line="360" w:lineRule="auto" w:before="0" w:after="80"/>
        <w:ind w:left="0"/>
      </w:pPr>
      <w:r>
        <w:rPr>
          <w:rFonts w:ascii="Times New Roman" w:hAnsi="Times New Roman"/>
          <w:b/>
          <w:sz w:val="24"/>
        </w:rPr>
        <w:t>PLAN DE CUIDADOS E INTERVENCIONES DE ENFERMERÍA</w:t>
        <w:tab/>
      </w:r>
      <w:r>
        <w:rPr>
          <w:rFonts w:ascii="Times New Roman" w:hAnsi="Times New Roman"/>
          <w:b/>
          <w:sz w:val="24"/>
        </w:rPr>
        <w:fldChar w:fldCharType="begin"/>
        <w:instrText xml:space="preserve"> PAGEREF bm_plan \h </w:instrText>
        <w:fldChar w:fldCharType="separate"/>
        <w:t>?</w:t>
        <w:fldChar w:fldCharType="end"/>
      </w:r>
    </w:p>
    <w:p>
      <w:pPr>
        <w:tabs>
          <w:tab w:pos="9360" w:val="right" w:leader="dot"/>
        </w:tabs>
        <w:spacing w:line="360" w:lineRule="auto" w:before="0" w:after="80"/>
        <w:ind w:left="0"/>
      </w:pPr>
      <w:r>
        <w:rPr>
          <w:rFonts w:ascii="Times New Roman" w:hAnsi="Times New Roman"/>
          <w:b/>
          <w:sz w:val="24"/>
        </w:rPr>
        <w:t>CONCLUSIONES Y RECOMENDACIONES</w:t>
        <w:tab/>
      </w:r>
      <w:r>
        <w:rPr>
          <w:rFonts w:ascii="Times New Roman" w:hAnsi="Times New Roman"/>
          <w:b/>
          <w:sz w:val="24"/>
        </w:rPr>
        <w:fldChar w:fldCharType="begin"/>
        <w:instrText xml:space="preserve"> PAGEREF bm_conclusion \h </w:instrText>
        <w:fldChar w:fldCharType="separate"/>
        <w:t>?</w:t>
        <w:fldChar w:fldCharType="end"/>
      </w:r>
    </w:p>
    <w:p>
      <w:r>
        <w:br w:type="page"/>
      </w:r>
    </w:p>
    <w:p>
      <w:bookmarkStart w:id="2" w:name="bm_objetivos"/>
      <w:pPr>
        <w:spacing w:line="360" w:lineRule="auto" w:before="0" w:after="240"/>
        <w:ind w:firstLine="0"/>
        <w:jc w:val="center"/>
      </w:pPr>
      <w:r>
        <w:rPr>
          <w:rFonts w:ascii="Times New Roman" w:hAnsi="Times New Roman"/>
          <w:b w:val="0"/>
          <w:i w:val="0"/>
          <w:sz w:val="24"/>
        </w:rPr>
        <w:t>OBJETIVOS</w:t>
      </w:r>
      <w:bookmarkEnd w:id="2" w:name="bm_objetivos"/>
    </w:p>
    <w:p>
      <w:pPr>
        <w:spacing w:line="360" w:lineRule="auto" w:before="0" w:after="120"/>
        <w:ind w:firstLine="0"/>
        <w:jc w:val="left"/>
      </w:pPr>
      <w:r>
        <w:rPr>
          <w:rFonts w:ascii="Times New Roman" w:hAnsi="Times New Roman"/>
          <w:b/>
          <w:i w:val="0"/>
          <w:sz w:val="24"/>
        </w:rPr>
        <w:t>Objetivo General</w:t>
      </w:r>
    </w:p>
    <w:p>
      <w:pPr>
        <w:spacing w:line="360" w:lineRule="auto" w:before="0" w:after="0"/>
        <w:ind w:firstLine="720"/>
        <w:jc w:val="both"/>
      </w:pPr>
      <w:r>
        <w:rPr>
          <w:rFonts w:ascii="Times New Roman" w:hAnsi="Times New Roman"/>
          <w:b w:val="0"/>
          <w:i w:val="0"/>
          <w:sz w:val="24"/>
        </w:rPr>
        <w:t>Aplicar el Proceso de Atención de Enfermería (PAE) en el recién nacido Liam Emanuel Capriles con diagnóstico de Lúes connatal y sepsis neonatal precoz, hospitalizado en el servicio de Retén / Neonatología, para restaurar su estado de salud y prevenir complicaciones mediante intervenciones de enfermería jerarquizadas.</w:t>
      </w:r>
    </w:p>
    <w:p>
      <w:pPr>
        <w:spacing w:line="360" w:lineRule="auto" w:before="0" w:after="120"/>
        <w:ind w:firstLine="0"/>
        <w:jc w:val="left"/>
      </w:pPr>
      <w:r>
        <w:rPr>
          <w:rFonts w:ascii="Times New Roman" w:hAnsi="Times New Roman"/>
          <w:b/>
          <w:i w:val="0"/>
          <w:sz w:val="24"/>
        </w:rPr>
        <w:t>Objetivos Específicos</w:t>
      </w:r>
    </w:p>
    <w:p>
      <w:pPr>
        <w:spacing w:line="360" w:lineRule="auto" w:before="0" w:after="0"/>
        <w:ind w:firstLine="0"/>
        <w:jc w:val="both"/>
      </w:pPr>
      <w:r>
        <w:rPr>
          <w:rFonts w:ascii="Times New Roman" w:hAnsi="Times New Roman"/>
          <w:b w:val="0"/>
          <w:i w:val="0"/>
          <w:sz w:val="24"/>
        </w:rPr>
        <w:t>1. Valorar al recién nacido recopilando datos objetivos, anamnesis materna y resultados paraclínicos (hematología completa, procalcitonina y VDRL).</w:t>
      </w:r>
    </w:p>
    <w:p>
      <w:pPr>
        <w:spacing w:line="360" w:lineRule="auto" w:before="0" w:after="0"/>
        <w:ind w:firstLine="0"/>
        <w:jc w:val="both"/>
      </w:pPr>
      <w:r>
        <w:rPr>
          <w:rFonts w:ascii="Times New Roman" w:hAnsi="Times New Roman"/>
          <w:b w:val="0"/>
          <w:i w:val="0"/>
          <w:sz w:val="24"/>
        </w:rPr>
        <w:t>2. Identificar los patrones funcionales de Marjory Gordon que se encuentran alterados.</w:t>
      </w:r>
    </w:p>
    <w:p>
      <w:pPr>
        <w:spacing w:line="360" w:lineRule="auto" w:before="0" w:after="0"/>
        <w:ind w:firstLine="0"/>
        <w:jc w:val="both"/>
      </w:pPr>
      <w:r>
        <w:rPr>
          <w:rFonts w:ascii="Times New Roman" w:hAnsi="Times New Roman"/>
          <w:b w:val="0"/>
          <w:i w:val="0"/>
          <w:sz w:val="24"/>
        </w:rPr>
        <w:t>3. Formular los diagnósticos de enfermería (reales y de riesgo) jerarquizados según las necesidades prioritarias del recién nacido.</w:t>
      </w:r>
    </w:p>
    <w:p>
      <w:pPr>
        <w:spacing w:line="360" w:lineRule="auto" w:before="0" w:after="0"/>
        <w:ind w:firstLine="0"/>
        <w:jc w:val="both"/>
      </w:pPr>
      <w:r>
        <w:rPr>
          <w:rFonts w:ascii="Times New Roman" w:hAnsi="Times New Roman"/>
          <w:b w:val="0"/>
          <w:i w:val="0"/>
          <w:sz w:val="24"/>
        </w:rPr>
        <w:t>4. Planificar y ejecutar las intervenciones de enfermería enfocadas en el esquema terapéutico prescrito (Penicilina Cristalina y Cefotaxima).</w:t>
      </w:r>
    </w:p>
    <w:p>
      <w:pPr>
        <w:spacing w:line="360" w:lineRule="auto" w:before="0" w:after="0"/>
        <w:ind w:firstLine="0"/>
        <w:jc w:val="both"/>
      </w:pPr>
      <w:r>
        <w:rPr>
          <w:rFonts w:ascii="Times New Roman" w:hAnsi="Times New Roman"/>
          <w:b w:val="0"/>
          <w:i w:val="0"/>
          <w:sz w:val="24"/>
        </w:rPr>
        <w:t>5. Evaluar la evolución clínica del paciente durante su estancia hospitalaria.</w:t>
      </w:r>
    </w:p>
    <w:p>
      <w:r>
        <w:br w:type="page"/>
      </w:r>
    </w:p>
    <w:p>
      <w:bookmarkStart w:id="3" w:name="bm_hc"/>
      <w:pPr>
        <w:spacing w:line="360" w:lineRule="auto" w:before="0" w:after="240"/>
        <w:ind w:firstLine="0"/>
        <w:jc w:val="center"/>
      </w:pPr>
      <w:r>
        <w:rPr>
          <w:rFonts w:ascii="Times New Roman" w:hAnsi="Times New Roman"/>
          <w:b w:val="0"/>
          <w:i w:val="0"/>
          <w:sz w:val="24"/>
        </w:rPr>
        <w:t>HISTORIA CLÍNICA DE ENFERMERÍA</w:t>
      </w:r>
      <w:bookmarkEnd w:id="3" w:name="bm_hc"/>
    </w:p>
    <w:p>
      <w:pPr>
        <w:spacing w:line="360" w:lineRule="auto" w:before="0" w:after="0"/>
        <w:ind w:firstLine="0"/>
        <w:jc w:val="both"/>
      </w:pPr>
      <w:r>
        <w:rPr>
          <w:rFonts w:ascii="Times New Roman" w:hAnsi="Times New Roman"/>
          <w:b w:val="0"/>
          <w:i w:val="0"/>
          <w:sz w:val="24"/>
        </w:rPr>
        <w:t>Nombre del Paciente: Liam Emanuel Capriles</w:t>
      </w:r>
    </w:p>
    <w:p>
      <w:pPr>
        <w:spacing w:line="360" w:lineRule="auto" w:before="0" w:after="0"/>
        <w:ind w:firstLine="0"/>
        <w:jc w:val="both"/>
      </w:pPr>
      <w:r>
        <w:rPr>
          <w:rFonts w:ascii="Times New Roman" w:hAnsi="Times New Roman"/>
          <w:b w:val="0"/>
          <w:i w:val="0"/>
          <w:sz w:val="24"/>
        </w:rPr>
        <w:t>Fecha de Nacimiento: 31-07-2026 (Hora: 9:07 pm)</w:t>
      </w:r>
    </w:p>
    <w:p>
      <w:pPr>
        <w:spacing w:line="360" w:lineRule="auto" w:before="0" w:after="0"/>
        <w:ind w:firstLine="0"/>
        <w:jc w:val="both"/>
      </w:pPr>
      <w:r>
        <w:rPr>
          <w:rFonts w:ascii="Times New Roman" w:hAnsi="Times New Roman"/>
          <w:b w:val="0"/>
          <w:i w:val="0"/>
          <w:sz w:val="24"/>
        </w:rPr>
        <w:t>Edad: 5 días de nacido</w:t>
      </w:r>
    </w:p>
    <w:p>
      <w:pPr>
        <w:spacing w:line="360" w:lineRule="auto" w:before="0" w:after="0"/>
        <w:ind w:firstLine="0"/>
        <w:jc w:val="both"/>
      </w:pPr>
      <w:r>
        <w:rPr>
          <w:rFonts w:ascii="Times New Roman" w:hAnsi="Times New Roman"/>
          <w:b w:val="0"/>
          <w:i w:val="0"/>
          <w:sz w:val="24"/>
        </w:rPr>
        <w:t>Sexo: Masculino</w:t>
      </w:r>
    </w:p>
    <w:p>
      <w:pPr>
        <w:spacing w:line="360" w:lineRule="auto" w:before="0" w:after="0"/>
        <w:ind w:firstLine="0"/>
        <w:jc w:val="both"/>
      </w:pPr>
      <w:r>
        <w:rPr>
          <w:rFonts w:ascii="Times New Roman" w:hAnsi="Times New Roman"/>
          <w:b w:val="0"/>
          <w:i w:val="0"/>
          <w:sz w:val="24"/>
        </w:rPr>
        <w:t>Cédula de Identidad: 31.741.479 (asignada)</w:t>
      </w:r>
    </w:p>
    <w:p>
      <w:pPr>
        <w:spacing w:line="360" w:lineRule="auto" w:before="0" w:after="0"/>
        <w:ind w:firstLine="0"/>
        <w:jc w:val="both"/>
      </w:pPr>
      <w:r>
        <w:rPr>
          <w:rFonts w:ascii="Times New Roman" w:hAnsi="Times New Roman"/>
          <w:b w:val="0"/>
          <w:i w:val="0"/>
          <w:sz w:val="24"/>
        </w:rPr>
        <w:t>Historia Clínica (HC): 31-91-52</w:t>
      </w:r>
    </w:p>
    <w:p>
      <w:pPr>
        <w:spacing w:line="360" w:lineRule="auto" w:before="0" w:after="0"/>
        <w:ind w:firstLine="0"/>
        <w:jc w:val="both"/>
      </w:pPr>
      <w:r>
        <w:rPr>
          <w:rFonts w:ascii="Times New Roman" w:hAnsi="Times New Roman"/>
          <w:b w:val="0"/>
          <w:i w:val="0"/>
          <w:sz w:val="24"/>
        </w:rPr>
        <w:t>Certificado de Nacimiento: 12388442</w:t>
      </w:r>
    </w:p>
    <w:p>
      <w:pPr>
        <w:spacing w:line="360" w:lineRule="auto" w:before="0" w:after="0"/>
        <w:ind w:firstLine="0"/>
        <w:jc w:val="both"/>
      </w:pPr>
      <w:r>
        <w:rPr>
          <w:rFonts w:ascii="Times New Roman" w:hAnsi="Times New Roman"/>
          <w:b w:val="0"/>
          <w:i w:val="0"/>
          <w:sz w:val="24"/>
        </w:rPr>
        <w:t>Datos Antropométricos: Peso al nacer: 3.300 kg | Talla: 50 cm | CC: 36 cm | CT: 33 cm | CA: 32 cm</w:t>
      </w:r>
    </w:p>
    <w:p>
      <w:pPr>
        <w:spacing w:line="360" w:lineRule="auto" w:before="0" w:after="0"/>
        <w:ind w:firstLine="0"/>
        <w:jc w:val="both"/>
      </w:pPr>
      <w:r>
        <w:rPr>
          <w:rFonts w:ascii="Times New Roman" w:hAnsi="Times New Roman"/>
          <w:b w:val="0"/>
          <w:i w:val="0"/>
          <w:sz w:val="24"/>
        </w:rPr>
        <w:t>Madre: Lisneidys Capriles (27 años) | Tlf: 04164906479</w:t>
      </w:r>
    </w:p>
    <w:p>
      <w:pPr>
        <w:spacing w:line="360" w:lineRule="auto" w:before="0" w:after="0"/>
        <w:ind w:firstLine="0"/>
        <w:jc w:val="both"/>
      </w:pPr>
      <w:r>
        <w:rPr>
          <w:rFonts w:ascii="Times New Roman" w:hAnsi="Times New Roman"/>
          <w:b w:val="0"/>
          <w:i w:val="0"/>
          <w:sz w:val="24"/>
        </w:rPr>
        <w:t>Dirección: C/ Brisas del Valle s/n, Sector Nueva Esperanza - El Tigrito, Municipio Guanipa, Estado Anzoátegui.</w:t>
      </w:r>
    </w:p>
    <w:p>
      <w:pPr>
        <w:spacing w:line="360" w:lineRule="auto" w:before="0" w:after="0"/>
        <w:ind w:firstLine="0"/>
        <w:jc w:val="both"/>
      </w:pPr>
      <w:r>
        <w:rPr>
          <w:rFonts w:ascii="Times New Roman" w:hAnsi="Times New Roman"/>
          <w:b w:val="0"/>
          <w:i w:val="0"/>
          <w:sz w:val="24"/>
        </w:rPr>
        <w:t>Servicio: Retén / Neonatología</w:t>
      </w:r>
    </w:p>
    <w:p>
      <w:r>
        <w:br w:type="page"/>
      </w:r>
    </w:p>
    <w:p>
      <w:bookmarkStart w:id="4" w:name="bm_resumen"/>
      <w:pPr>
        <w:spacing w:line="360" w:lineRule="auto" w:before="0" w:after="240"/>
        <w:ind w:firstLine="0"/>
        <w:jc w:val="center"/>
      </w:pPr>
      <w:r>
        <w:rPr>
          <w:rFonts w:ascii="Times New Roman" w:hAnsi="Times New Roman"/>
          <w:b w:val="0"/>
          <w:i w:val="0"/>
          <w:sz w:val="24"/>
        </w:rPr>
        <w:t>RESUMEN DEL CASO Y ENFERMEDAD ACTUAL</w:t>
      </w:r>
      <w:bookmarkEnd w:id="4" w:name="bm_resumen"/>
    </w:p>
    <w:p>
      <w:pPr>
        <w:spacing w:line="360" w:lineRule="auto" w:before="0" w:after="0"/>
        <w:ind w:firstLine="720"/>
        <w:jc w:val="both"/>
      </w:pPr>
      <w:r>
        <w:rPr>
          <w:rFonts w:ascii="Times New Roman" w:hAnsi="Times New Roman"/>
          <w:b w:val="0"/>
          <w:i w:val="0"/>
          <w:sz w:val="24"/>
        </w:rPr>
        <w:t>Se trata de recién nacido masculino de 39 semanas de gestación por Ballard (RNAT / AEG), obtenido por cesárea segmentaria el 31/07/2026 a las 9:07 pm. Producto de madre de 27 años de edad, IV gestación, con embarazo mal controlado (1 control prenatal). Como antecedentes maternos destaca VDRL 1/8 en II trimestre no tratado, vaginosis en I trimestre tratada con óvulos de Clinfol por 7 días, niega ITU y HIV (-).</w:t>
      </w:r>
    </w:p>
    <w:p>
      <w:pPr>
        <w:spacing w:line="360" w:lineRule="auto" w:before="0" w:after="0"/>
        <w:ind w:firstLine="720"/>
        <w:jc w:val="both"/>
      </w:pPr>
      <w:r>
        <w:rPr>
          <w:rFonts w:ascii="Times New Roman" w:hAnsi="Times New Roman"/>
          <w:b w:val="0"/>
          <w:i w:val="0"/>
          <w:sz w:val="24"/>
        </w:rPr>
        <w:t>Al nacer, el producto lloró y respiró espontáneamente; se le realizó aseo, colocación de clamp umbilical, administración de Vitamina K, gotas oftálmicas y vacuna anti-Hepatitis B. Es evaluado por el servicio de Pediatría e ingresado al servicio de Retén por antecedentes maternos patológicos (VDRL materno positivo no tratado) con diagnósticos de Lúes connatal A/D y Sepsis neonatal precoz A/D.</w:t>
      </w:r>
    </w:p>
    <w:p>
      <w:pPr>
        <w:spacing w:line="360" w:lineRule="auto" w:before="0" w:after="0"/>
        <w:ind w:firstLine="720"/>
        <w:jc w:val="both"/>
      </w:pPr>
      <w:r>
        <w:rPr>
          <w:rFonts w:ascii="Times New Roman" w:hAnsi="Times New Roman"/>
          <w:b w:val="0"/>
          <w:i w:val="0"/>
          <w:sz w:val="24"/>
        </w:rPr>
        <w:t>A los 5 días de evolución hospitalaria (05/08/2026), el recién nacido se encuentra en cuna en regulares condiciones generales, activo, afebril al tacto, tolerando vía oral, con llanto fuerte, tono muscular conservado y vía periférica permeable para cumplimiento de esquema antibiótico.</w:t>
      </w:r>
    </w:p>
    <w:p>
      <w:r>
        <w:br w:type="page"/>
      </w:r>
    </w:p>
    <w:p>
      <w:bookmarkStart w:id="5" w:name="bm_lab"/>
      <w:pPr>
        <w:spacing w:line="360" w:lineRule="auto" w:before="0" w:after="240"/>
        <w:ind w:firstLine="0"/>
        <w:jc w:val="center"/>
      </w:pPr>
      <w:r>
        <w:rPr>
          <w:rFonts w:ascii="Times New Roman" w:hAnsi="Times New Roman"/>
          <w:b w:val="0"/>
          <w:i w:val="0"/>
          <w:sz w:val="24"/>
        </w:rPr>
        <w:t>EXÁMENES DE LABORATORIO Y PARACLÍNICOS</w:t>
      </w:r>
      <w:bookmarkEnd w:id="5" w:name="bm_lab"/>
    </w:p>
    <w:p>
      <w:pPr>
        <w:spacing w:line="360" w:lineRule="auto" w:before="0" w:after="0"/>
        <w:ind w:firstLine="0"/>
        <w:jc w:val="both"/>
      </w:pPr>
      <w:r>
        <w:rPr>
          <w:rFonts w:ascii="Times New Roman" w:hAnsi="Times New Roman"/>
          <w:b w:val="0"/>
          <w:i w:val="0"/>
          <w:sz w:val="24"/>
        </w:rPr>
        <w:t>Hematología Completa (04/08/2026):</w:t>
      </w:r>
    </w:p>
    <w:p>
      <w:pPr>
        <w:spacing w:line="360" w:lineRule="auto" w:before="0" w:after="0"/>
        <w:ind w:firstLine="0"/>
        <w:jc w:val="both"/>
      </w:pPr>
      <w:r>
        <w:rPr>
          <w:rFonts w:ascii="Times New Roman" w:hAnsi="Times New Roman"/>
          <w:b w:val="0"/>
          <w:i w:val="0"/>
          <w:sz w:val="24"/>
        </w:rPr>
        <w:t>Leucocitos: 9.400 /mm³ | VAN: 5.734 /mm³</w:t>
      </w:r>
    </w:p>
    <w:p>
      <w:pPr>
        <w:spacing w:line="360" w:lineRule="auto" w:before="0" w:after="0"/>
        <w:ind w:firstLine="0"/>
        <w:jc w:val="both"/>
      </w:pPr>
      <w:r>
        <w:rPr>
          <w:rFonts w:ascii="Times New Roman" w:hAnsi="Times New Roman"/>
          <w:b w:val="0"/>
          <w:i w:val="0"/>
          <w:sz w:val="24"/>
        </w:rPr>
        <w:t>Eritrocitos: 3,93 /mm³</w:t>
      </w:r>
    </w:p>
    <w:p>
      <w:pPr>
        <w:spacing w:line="360" w:lineRule="auto" w:before="0" w:after="0"/>
        <w:ind w:firstLine="0"/>
        <w:jc w:val="both"/>
      </w:pPr>
      <w:r>
        <w:rPr>
          <w:rFonts w:ascii="Times New Roman" w:hAnsi="Times New Roman"/>
          <w:b w:val="0"/>
          <w:i w:val="0"/>
          <w:sz w:val="24"/>
        </w:rPr>
        <w:t>Hemoglobina: 15,1 g/dL | Hematocrito: 45 %</w:t>
      </w:r>
    </w:p>
    <w:p>
      <w:pPr>
        <w:spacing w:line="360" w:lineRule="auto" w:before="0" w:after="0"/>
        <w:ind w:firstLine="0"/>
        <w:jc w:val="both"/>
      </w:pPr>
      <w:r>
        <w:rPr>
          <w:rFonts w:ascii="Times New Roman" w:hAnsi="Times New Roman"/>
          <w:b w:val="0"/>
          <w:i w:val="0"/>
          <w:sz w:val="24"/>
        </w:rPr>
        <w:t>VCM: 114,5 fL | HCM: 38,4 pg | CHCM: 33,5 %</w:t>
      </w:r>
    </w:p>
    <w:p>
      <w:pPr>
        <w:spacing w:line="360" w:lineRule="auto" w:before="0" w:after="0"/>
        <w:ind w:firstLine="0"/>
        <w:jc w:val="both"/>
      </w:pPr>
      <w:r>
        <w:rPr>
          <w:rFonts w:ascii="Times New Roman" w:hAnsi="Times New Roman"/>
          <w:b w:val="0"/>
          <w:i w:val="0"/>
          <w:sz w:val="24"/>
        </w:rPr>
        <w:t>Segmentados / Neutrófilos: 61 % | Linfocitos: 31 % | MID%: 8 %</w:t>
      </w:r>
    </w:p>
    <w:p>
      <w:pPr>
        <w:spacing w:line="360" w:lineRule="auto" w:before="0" w:after="0"/>
        <w:ind w:firstLine="0"/>
        <w:jc w:val="both"/>
      </w:pPr>
      <w:r>
        <w:rPr>
          <w:rFonts w:ascii="Times New Roman" w:hAnsi="Times New Roman"/>
          <w:b w:val="0"/>
          <w:i w:val="0"/>
          <w:sz w:val="24"/>
        </w:rPr>
        <w:t>Plaquetas: 168.000 /mm³ | VPM: 10,0 fL</w:t>
      </w:r>
    </w:p>
    <w:p>
      <w:pPr>
        <w:spacing w:line="360" w:lineRule="auto" w:before="0" w:after="0"/>
        <w:ind w:firstLine="0"/>
        <w:jc w:val="both"/>
      </w:pPr>
      <w:r>
        <w:rPr>
          <w:rFonts w:ascii="Times New Roman" w:hAnsi="Times New Roman"/>
          <w:b w:val="0"/>
          <w:i w:val="0"/>
          <w:sz w:val="24"/>
        </w:rPr>
        <w:t>Gota Gruesa / Extendido: Negativo (no se observaron formas compatibles con Plasmodium spp.).</w:t>
      </w:r>
    </w:p>
    <w:p>
      <w:pPr>
        <w:spacing w:line="360" w:lineRule="auto" w:before="0" w:after="0"/>
        <w:ind w:firstLine="0"/>
        <w:jc w:val="both"/>
      </w:pPr>
      <w:r>
        <w:rPr>
          <w:rFonts w:ascii="Times New Roman" w:hAnsi="Times New Roman"/>
          <w:b w:val="0"/>
          <w:i w:val="0"/>
          <w:sz w:val="24"/>
        </w:rPr>
        <w:t>Quimioluminiscencia: Procalcitonina (04/08/2026): 0,82 ng/mL (Posible infección / infección sistémica).</w:t>
      </w:r>
    </w:p>
    <w:p>
      <w:pPr>
        <w:spacing w:line="360" w:lineRule="auto" w:before="0" w:after="0"/>
        <w:ind w:firstLine="0"/>
        <w:jc w:val="both"/>
      </w:pPr>
      <w:r>
        <w:rPr>
          <w:rFonts w:ascii="Times New Roman" w:hAnsi="Times New Roman"/>
          <w:b w:val="0"/>
          <w:i w:val="0"/>
          <w:sz w:val="24"/>
        </w:rPr>
        <w:t>Inmunología: VDRL: Reactivo 1/4 (02/08/2026).</w:t>
      </w:r>
    </w:p>
    <w:p>
      <w:r>
        <w:br w:type="page"/>
      </w:r>
    </w:p>
    <w:p>
      <w:bookmarkStart w:id="6" w:name="bm_dx"/>
      <w:pPr>
        <w:spacing w:line="360" w:lineRule="auto" w:before="0" w:after="240"/>
        <w:ind w:firstLine="0"/>
        <w:jc w:val="center"/>
      </w:pPr>
      <w:r>
        <w:rPr>
          <w:rFonts w:ascii="Times New Roman" w:hAnsi="Times New Roman"/>
          <w:b w:val="0"/>
          <w:i w:val="0"/>
          <w:sz w:val="24"/>
        </w:rPr>
        <w:t>DIAGNÓSTICO MÉDICO (DEFINICIÓN Y AFECTACIÓN CLÍNICA)</w:t>
      </w:r>
      <w:bookmarkEnd w:id="6" w:name="bm_dx"/>
    </w:p>
    <w:p>
      <w:pPr>
        <w:spacing w:line="360" w:lineRule="auto" w:before="0" w:after="0"/>
        <w:ind w:firstLine="720"/>
        <w:jc w:val="both"/>
      </w:pPr>
      <w:r>
        <w:rPr>
          <w:rFonts w:ascii="Times New Roman" w:hAnsi="Times New Roman"/>
          <w:b w:val="0"/>
          <w:i w:val="0"/>
          <w:sz w:val="24"/>
        </w:rPr>
        <w:t>1. Recién Nacido a Término (39 semanas por Ballard) / Adecuado para la Edad Gestacional (RNAT / AEG)</w:t>
      </w:r>
    </w:p>
    <w:p>
      <w:pPr>
        <w:spacing w:line="360" w:lineRule="auto" w:before="0" w:after="0"/>
        <w:ind w:firstLine="720"/>
        <w:jc w:val="both"/>
      </w:pPr>
      <w:r>
        <w:rPr>
          <w:rFonts w:ascii="Times New Roman" w:hAnsi="Times New Roman"/>
          <w:b w:val="0"/>
          <w:i w:val="0"/>
          <w:sz w:val="24"/>
        </w:rPr>
        <w:t>¿Qué es?: Condición del neonato nacido entre las semanas 37 y 41 de gestación cuyo peso al nacer (3.300 kg) se ubica dentro del rango esperado para su edad gestacional.</w:t>
      </w:r>
    </w:p>
    <w:p>
      <w:pPr>
        <w:spacing w:line="360" w:lineRule="auto" w:before="0" w:after="0"/>
        <w:ind w:firstLine="720"/>
        <w:jc w:val="both"/>
      </w:pPr>
      <w:r>
        <w:rPr>
          <w:rFonts w:ascii="Times New Roman" w:hAnsi="Times New Roman"/>
          <w:b w:val="0"/>
          <w:i w:val="0"/>
          <w:sz w:val="24"/>
        </w:rPr>
        <w:t>¿Qué afecta?: Representa un factor protector. Indica que el neonato completó su maduración física y neurológica en el útero, lo que le otorga una mejor capacidad de adaptación a la vida extrauterina en comparación con un prematuro.</w:t>
      </w:r>
    </w:p>
    <w:p>
      <w:pPr>
        <w:spacing w:line="360" w:lineRule="auto" w:before="0" w:after="0"/>
        <w:ind w:firstLine="720"/>
        <w:jc w:val="both"/>
      </w:pPr>
      <w:r>
        <w:rPr>
          <w:rFonts w:ascii="Times New Roman" w:hAnsi="Times New Roman"/>
          <w:b w:val="0"/>
          <w:i w:val="0"/>
          <w:sz w:val="24"/>
        </w:rPr>
        <w:t>2. Lúes Connatal (Sífilis Congénita) A/D</w:t>
      </w:r>
    </w:p>
    <w:p>
      <w:pPr>
        <w:spacing w:line="360" w:lineRule="auto" w:before="0" w:after="0"/>
        <w:ind w:firstLine="720"/>
        <w:jc w:val="both"/>
      </w:pPr>
      <w:r>
        <w:rPr>
          <w:rFonts w:ascii="Times New Roman" w:hAnsi="Times New Roman"/>
          <w:b w:val="0"/>
          <w:i w:val="0"/>
          <w:sz w:val="24"/>
        </w:rPr>
        <w:t>¿Qué es?: Infección de transmisión vertical en la que la bacteria Treponema pallidum se transmite de la madre infectada (con antecedente de VDRL 1/8 no tratado) al recién nacido durante la gestación.</w:t>
      </w:r>
    </w:p>
    <w:p>
      <w:pPr>
        <w:spacing w:line="360" w:lineRule="auto" w:before="0" w:after="0"/>
        <w:ind w:firstLine="720"/>
        <w:jc w:val="both"/>
      </w:pPr>
      <w:r>
        <w:rPr>
          <w:rFonts w:ascii="Times New Roman" w:hAnsi="Times New Roman"/>
          <w:b w:val="0"/>
          <w:i w:val="0"/>
          <w:sz w:val="24"/>
        </w:rPr>
        <w:t>¿Qué afecta?: Afecta la salud general del neonato al ponerlo en riesgo de desarrollar alteraciones multiorgánicas (cutáneas, óseas, hepáticas y neurológicas). En este paciente, el hallazgo de VDRL reactivo (1/4) exige la administración inmediata del esquema completo de Penicilina Cristalina para eliminar el microorganismo y prevenir secuelas a largo plazo.</w:t>
      </w:r>
    </w:p>
    <w:p>
      <w:pPr>
        <w:spacing w:line="360" w:lineRule="auto" w:before="0" w:after="0"/>
        <w:ind w:firstLine="720"/>
        <w:jc w:val="both"/>
      </w:pPr>
      <w:r>
        <w:rPr>
          <w:rFonts w:ascii="Times New Roman" w:hAnsi="Times New Roman"/>
          <w:b w:val="0"/>
          <w:i w:val="0"/>
          <w:sz w:val="24"/>
        </w:rPr>
        <w:t>3. Sepsis Neonatal Precoz A/D</w:t>
      </w:r>
    </w:p>
    <w:p>
      <w:pPr>
        <w:spacing w:line="360" w:lineRule="auto" w:before="0" w:after="0"/>
        <w:ind w:firstLine="720"/>
        <w:jc w:val="both"/>
      </w:pPr>
      <w:r>
        <w:rPr>
          <w:rFonts w:ascii="Times New Roman" w:hAnsi="Times New Roman"/>
          <w:b w:val="0"/>
          <w:i w:val="0"/>
          <w:sz w:val="24"/>
        </w:rPr>
        <w:t>¿Qué es?: Síndrome de respuesta inflamatoria sistémica que se presenta en las primeras 72 horas de vida, secundario a la exposición del recién nacido a microorganismos patógenos en el canal del parto o antecedentes infecciosos maternos (vaginosis bacteriana y embarazo mal controlado).</w:t>
      </w:r>
    </w:p>
    <w:p>
      <w:pPr>
        <w:spacing w:line="360" w:lineRule="auto" w:before="0" w:after="0"/>
        <w:ind w:firstLine="720"/>
        <w:jc w:val="both"/>
      </w:pPr>
      <w:r>
        <w:rPr>
          <w:rFonts w:ascii="Times New Roman" w:hAnsi="Times New Roman"/>
          <w:b w:val="0"/>
          <w:i w:val="0"/>
          <w:sz w:val="24"/>
        </w:rPr>
        <w:t>¿Qué afecta?: Afecta la estabilidad hemodinámica y el estado inmunológico del lactante, comprometiendo su bienestar general. Se evidencia por la elevación de la procalcitonina (0,82 ng/mL) e hipotermia leve (34.8 °C), requiriendo tratamiento antibiótico de amplio espectro (Cefotaxima) y monitorización continua para evitar una falla multiorgánica.</w:t>
      </w:r>
    </w:p>
    <w:p>
      <w:r>
        <w:br w:type="page"/>
      </w:r>
    </w:p>
    <w:p>
      <w:bookmarkStart w:id="7" w:name="bm_ante"/>
      <w:pPr>
        <w:spacing w:line="360" w:lineRule="auto" w:before="0" w:after="240"/>
        <w:ind w:firstLine="0"/>
        <w:jc w:val="center"/>
      </w:pPr>
      <w:r>
        <w:rPr>
          <w:rFonts w:ascii="Times New Roman" w:hAnsi="Times New Roman"/>
          <w:b w:val="0"/>
          <w:i w:val="0"/>
          <w:sz w:val="24"/>
        </w:rPr>
        <w:t>ANTECEDENTES PERSONALES PATOLÓGICOS (MATERNOS / PERINATALES)</w:t>
      </w:r>
      <w:bookmarkEnd w:id="7" w:name="bm_ante"/>
    </w:p>
    <w:p>
      <w:pPr>
        <w:spacing w:line="360" w:lineRule="auto" w:before="0" w:after="0"/>
        <w:ind w:firstLine="720"/>
        <w:jc w:val="both"/>
      </w:pPr>
      <w:r>
        <w:rPr>
          <w:rFonts w:ascii="Times New Roman" w:hAnsi="Times New Roman"/>
          <w:b w:val="0"/>
          <w:i w:val="0"/>
          <w:sz w:val="24"/>
        </w:rPr>
        <w:t>Antecedentes Maternos: IV gestación, embarazo mal controlado (1 control). VDRL 1/8 en II trimestre no tratado, HIV (-) (23/07/26). Vaginosis bacteriana en I trimestre tratada con óvulos de Clinfol por 7 días. Niega ITU.</w:t>
      </w:r>
    </w:p>
    <w:p>
      <w:pPr>
        <w:spacing w:line="360" w:lineRule="auto" w:before="0" w:after="0"/>
        <w:ind w:firstLine="720"/>
        <w:jc w:val="both"/>
      </w:pPr>
      <w:r>
        <w:rPr>
          <w:rFonts w:ascii="Times New Roman" w:hAnsi="Times New Roman"/>
          <w:b w:val="0"/>
          <w:i w:val="0"/>
          <w:sz w:val="24"/>
        </w:rPr>
        <w:t>Antecedentes Perinatales: Nacido el 31/07/2026 a las 9:07 pm por cesárea segmentaria. Peso: 3.300 kg, Talla: 50 cm. Lloró y respiró al nacer. Profilaxis neonatal cumplida (Vitamina K, gotas oftálmicas y vacuna Hepatitis B).</w:t>
      </w:r>
    </w:p>
    <w:p>
      <w:r>
        <w:br w:type="page"/>
      </w:r>
    </w:p>
    <w:p>
      <w:bookmarkStart w:id="8" w:name="bm_examen"/>
      <w:pPr>
        <w:spacing w:line="360" w:lineRule="auto" w:before="0" w:after="240"/>
        <w:ind w:firstLine="0"/>
        <w:jc w:val="center"/>
      </w:pPr>
      <w:r>
        <w:rPr>
          <w:rFonts w:ascii="Times New Roman" w:hAnsi="Times New Roman"/>
          <w:b w:val="0"/>
          <w:i w:val="0"/>
          <w:sz w:val="24"/>
        </w:rPr>
        <w:t>EXAMEN FÍSICO (CEFALOCAUDAL)</w:t>
      </w:r>
      <w:bookmarkEnd w:id="8" w:name="bm_examen"/>
    </w:p>
    <w:p>
      <w:pPr>
        <w:spacing w:line="360" w:lineRule="auto" w:before="0" w:after="0"/>
        <w:ind w:firstLine="0"/>
        <w:jc w:val="both"/>
      </w:pPr>
      <w:r>
        <w:rPr>
          <w:rFonts w:ascii="Times New Roman" w:hAnsi="Times New Roman"/>
          <w:b w:val="0"/>
          <w:i w:val="0"/>
          <w:sz w:val="24"/>
        </w:rPr>
        <w:t>(Información tomada de la historia clínica)</w:t>
      </w:r>
    </w:p>
    <w:p>
      <w:pPr>
        <w:spacing w:line="360" w:lineRule="auto" w:before="0" w:after="0"/>
        <w:ind w:firstLine="0"/>
        <w:jc w:val="both"/>
      </w:pPr>
      <w:r>
        <w:rPr>
          <w:rFonts w:ascii="Times New Roman" w:hAnsi="Times New Roman"/>
          <w:b w:val="0"/>
          <w:i w:val="0"/>
          <w:sz w:val="24"/>
        </w:rPr>
        <w:t>Signos Vitales: FC: 129 bpm | FR: 31 rpm | Temp: 34.8 °C</w:t>
      </w:r>
    </w:p>
    <w:p>
      <w:pPr>
        <w:spacing w:line="360" w:lineRule="auto" w:before="0" w:after="0"/>
        <w:ind w:firstLine="0"/>
        <w:jc w:val="both"/>
      </w:pPr>
      <w:r>
        <w:rPr>
          <w:rFonts w:ascii="Times New Roman" w:hAnsi="Times New Roman"/>
          <w:b w:val="0"/>
          <w:i w:val="0"/>
          <w:sz w:val="24"/>
        </w:rPr>
        <w:t>Piel: Tez sonrosada, normotérmica, turgor y elasticidad conservada, llenado capilar &lt; 3 segundos.</w:t>
      </w:r>
    </w:p>
    <w:p>
      <w:pPr>
        <w:spacing w:line="360" w:lineRule="auto" w:before="0" w:after="0"/>
        <w:ind w:firstLine="0"/>
        <w:jc w:val="both"/>
      </w:pPr>
      <w:r>
        <w:rPr>
          <w:rFonts w:ascii="Times New Roman" w:hAnsi="Times New Roman"/>
          <w:b w:val="0"/>
          <w:i w:val="0"/>
          <w:sz w:val="24"/>
        </w:rPr>
        <w:t>Cabeza y Cara: Normocéfalo, fontanelas normotensas. Ojos simétricos, isocóricos. Oídos con pabellón auricular normoimplantado. Nariz con narinas permeables. Boca con mucosa húmeda y paladar indemne.</w:t>
      </w:r>
    </w:p>
    <w:p>
      <w:pPr>
        <w:spacing w:line="360" w:lineRule="auto" w:before="0" w:after="0"/>
        <w:ind w:firstLine="0"/>
        <w:jc w:val="both"/>
      </w:pPr>
      <w:r>
        <w:rPr>
          <w:rFonts w:ascii="Times New Roman" w:hAnsi="Times New Roman"/>
          <w:b w:val="0"/>
          <w:i w:val="0"/>
          <w:sz w:val="24"/>
        </w:rPr>
        <w:t>Cardiopulmonar: Tórax simétrico, normoexpansible. Ruidos respiratorios presentes sin agregados. Ruidos cardíacos rítmicos y regulares.</w:t>
      </w:r>
    </w:p>
    <w:p>
      <w:pPr>
        <w:spacing w:line="360" w:lineRule="auto" w:before="0" w:after="0"/>
        <w:ind w:firstLine="0"/>
        <w:jc w:val="both"/>
      </w:pPr>
      <w:r>
        <w:rPr>
          <w:rFonts w:ascii="Times New Roman" w:hAnsi="Times New Roman"/>
          <w:b w:val="0"/>
          <w:i w:val="0"/>
          <w:sz w:val="24"/>
        </w:rPr>
        <w:t>Abdomen: Batracoide, blando, depresible, no doloroso a la palpación. RHA presentes.</w:t>
      </w:r>
    </w:p>
    <w:p>
      <w:pPr>
        <w:spacing w:line="360" w:lineRule="auto" w:before="0" w:after="0"/>
        <w:ind w:firstLine="0"/>
        <w:jc w:val="both"/>
      </w:pPr>
      <w:r>
        <w:rPr>
          <w:rFonts w:ascii="Times New Roman" w:hAnsi="Times New Roman"/>
          <w:b w:val="0"/>
          <w:i w:val="0"/>
          <w:sz w:val="24"/>
        </w:rPr>
        <w:t>Anogenital: Genitales normoconfigurados, ano permeable.</w:t>
      </w:r>
    </w:p>
    <w:p>
      <w:pPr>
        <w:spacing w:line="360" w:lineRule="auto" w:before="0" w:after="0"/>
        <w:ind w:firstLine="0"/>
        <w:jc w:val="both"/>
      </w:pPr>
      <w:r>
        <w:rPr>
          <w:rFonts w:ascii="Times New Roman" w:hAnsi="Times New Roman"/>
          <w:b w:val="0"/>
          <w:i w:val="0"/>
          <w:sz w:val="24"/>
        </w:rPr>
        <w:t>Extremidades: Simétricas, eutróficas, sin edemas.</w:t>
      </w:r>
    </w:p>
    <w:p>
      <w:pPr>
        <w:spacing w:line="360" w:lineRule="auto" w:before="0" w:after="0"/>
        <w:ind w:firstLine="0"/>
        <w:jc w:val="both"/>
      </w:pPr>
      <w:r>
        <w:rPr>
          <w:rFonts w:ascii="Times New Roman" w:hAnsi="Times New Roman"/>
          <w:b w:val="0"/>
          <w:i w:val="0"/>
          <w:sz w:val="24"/>
        </w:rPr>
        <w:t>Neurológico: Vigil, activo, llanto fuerte, succión adecuada, tono muscular conservado.</w:t>
      </w:r>
    </w:p>
    <w:p>
      <w:r>
        <w:br w:type="page"/>
      </w:r>
    </w:p>
    <w:p>
      <w:bookmarkStart w:id="9" w:name="bm_patrones"/>
      <w:pPr>
        <w:spacing w:line="360" w:lineRule="auto" w:before="0" w:after="240"/>
        <w:ind w:firstLine="0"/>
        <w:jc w:val="center"/>
      </w:pPr>
      <w:r>
        <w:rPr>
          <w:rFonts w:ascii="Times New Roman" w:hAnsi="Times New Roman"/>
          <w:b w:val="0"/>
          <w:i w:val="0"/>
          <w:sz w:val="24"/>
        </w:rPr>
        <w:t>PATRONES FUNCIONALES DE MARJORY GORDON (ALTERADOS)</w:t>
      </w:r>
      <w:bookmarkEnd w:id="9" w:name="bm_patrones"/>
    </w:p>
    <w:p>
      <w:pPr>
        <w:spacing w:line="360" w:lineRule="auto" w:before="0" w:after="0"/>
        <w:ind w:firstLine="720"/>
        <w:jc w:val="both"/>
      </w:pPr>
      <w:r>
        <w:rPr>
          <w:rFonts w:ascii="Times New Roman" w:hAnsi="Times New Roman"/>
          <w:b w:val="0"/>
          <w:i w:val="0"/>
          <w:sz w:val="24"/>
        </w:rPr>
        <w:t>1. Patrón 1: Percepción - Manejo de la Salud: Alterado por proceso infeccioso activo (Lúes connatal A/D) y riesgo de sepsis neonatal precoz secundario a antecedente materno de VDRL (+) no tratado durante la gestación.</w:t>
      </w:r>
    </w:p>
    <w:p>
      <w:pPr>
        <w:spacing w:line="360" w:lineRule="auto" w:before="0" w:after="0"/>
        <w:ind w:firstLine="720"/>
        <w:jc w:val="both"/>
      </w:pPr>
      <w:r>
        <w:rPr>
          <w:rFonts w:ascii="Times New Roman" w:hAnsi="Times New Roman"/>
          <w:b w:val="0"/>
          <w:i w:val="0"/>
          <w:sz w:val="24"/>
        </w:rPr>
        <w:t>2. Patrón 2: Nutricional - Metabólico: Riesgo de alteración secundario al cumplimiento de tratamiento antibiótico endovenoso y monitoreo de la tolerancia de la vía oral.</w:t>
      </w:r>
    </w:p>
    <w:p>
      <w:r>
        <w:br w:type="page"/>
      </w:r>
    </w:p>
    <w:p>
      <w:bookmarkStart w:id="10" w:name="bm_plan"/>
      <w:pPr>
        <w:spacing w:line="360" w:lineRule="auto" w:before="0" w:after="240"/>
        <w:ind w:firstLine="0"/>
        <w:jc w:val="center"/>
      </w:pPr>
      <w:r>
        <w:rPr>
          <w:rFonts w:ascii="Times New Roman" w:hAnsi="Times New Roman"/>
          <w:b w:val="0"/>
          <w:i w:val="0"/>
          <w:sz w:val="24"/>
        </w:rPr>
        <w:t>PLAN DE CUIDADOS E INTERVENCIONES DE ENFERMERÍA (5 DIAGNÓSTICOS NANDA)</w:t>
      </w:r>
      <w:bookmarkEnd w:id="10" w:name="bm_plan"/>
    </w:p>
    <w:p>
      <w:pPr>
        <w:spacing w:line="360" w:lineRule="auto" w:before="0" w:after="0"/>
        <w:ind w:firstLine="720"/>
        <w:jc w:val="both"/>
      </w:pPr>
      <w:r>
        <w:rPr>
          <w:rFonts w:ascii="Times New Roman" w:hAnsi="Times New Roman"/>
          <w:b w:val="0"/>
          <w:i w:val="0"/>
          <w:sz w:val="24"/>
        </w:rPr>
        <w:t>1. Protección ineficaz R/C respuesta inmune inmadura y transmisión vertical infecciosa E/P VDRL reactivo (1/4) y diagnóstico de Lúes connatal.</w:t>
      </w:r>
    </w:p>
    <w:p>
      <w:pPr>
        <w:spacing w:line="360" w:lineRule="auto" w:before="0" w:after="0"/>
        <w:ind w:firstLine="720"/>
        <w:jc w:val="both"/>
      </w:pPr>
      <w:r>
        <w:rPr>
          <w:rFonts w:ascii="Times New Roman" w:hAnsi="Times New Roman"/>
          <w:b w:val="0"/>
          <w:i w:val="0"/>
          <w:sz w:val="24"/>
        </w:rPr>
        <w:t>Objetivo: El recién nacido mantendrá la infección controlada sin signos de deterioro sistémico.</w:t>
      </w:r>
    </w:p>
    <w:p>
      <w:pPr>
        <w:spacing w:line="360" w:lineRule="auto" w:before="0" w:after="0"/>
        <w:ind w:firstLine="720"/>
        <w:jc w:val="both"/>
      </w:pPr>
      <w:r>
        <w:rPr>
          <w:rFonts w:ascii="Times New Roman" w:hAnsi="Times New Roman"/>
          <w:b w:val="0"/>
          <w:i w:val="0"/>
          <w:sz w:val="24"/>
        </w:rPr>
        <w:t>Intervenciones:</w:t>
      </w:r>
    </w:p>
    <w:p>
      <w:pPr>
        <w:spacing w:line="360" w:lineRule="auto" w:before="0" w:after="0"/>
        <w:ind w:firstLine="720"/>
        <w:jc w:val="both"/>
      </w:pPr>
      <w:r>
        <w:rPr>
          <w:rFonts w:ascii="Times New Roman" w:hAnsi="Times New Roman"/>
          <w:b w:val="0"/>
          <w:i w:val="0"/>
          <w:sz w:val="24"/>
        </w:rPr>
        <w:t>Administración de Penicilina Cristalina (150.000 UI/kg/día = 247.000 UI) VEV c/12h.</w:t>
      </w:r>
    </w:p>
    <w:p>
      <w:pPr>
        <w:spacing w:line="360" w:lineRule="auto" w:before="0" w:after="0"/>
        <w:ind w:firstLine="720"/>
        <w:jc w:val="both"/>
      </w:pPr>
      <w:r>
        <w:rPr>
          <w:rFonts w:ascii="Times New Roman" w:hAnsi="Times New Roman"/>
          <w:b w:val="0"/>
          <w:i w:val="0"/>
          <w:sz w:val="24"/>
        </w:rPr>
        <w:t>Administración de Cefotaxima (150 mg/kg/día = 247 mg) VEV c/12h.</w:t>
      </w:r>
    </w:p>
    <w:p>
      <w:pPr>
        <w:spacing w:line="360" w:lineRule="auto" w:before="0" w:after="0"/>
        <w:ind w:firstLine="720"/>
        <w:jc w:val="both"/>
      </w:pPr>
      <w:r>
        <w:rPr>
          <w:rFonts w:ascii="Times New Roman" w:hAnsi="Times New Roman"/>
          <w:b w:val="0"/>
          <w:i w:val="0"/>
          <w:sz w:val="24"/>
        </w:rPr>
        <w:t>Monitorear la respuesta al tratamiento antibiótico y vigilar signos de reacción adversa.</w:t>
      </w:r>
    </w:p>
    <w:p>
      <w:pPr>
        <w:spacing w:line="360" w:lineRule="auto" w:before="0" w:after="0"/>
        <w:ind w:firstLine="720"/>
        <w:jc w:val="both"/>
      </w:pPr>
      <w:r>
        <w:rPr>
          <w:rFonts w:ascii="Times New Roman" w:hAnsi="Times New Roman"/>
          <w:b w:val="0"/>
          <w:i w:val="0"/>
          <w:sz w:val="24"/>
        </w:rPr>
        <w:t>2. Riesgo de infección sistémica R/C susceptibilidad del recién nacido a la diseminación bacteriana (sepsis neonatal precoz).</w:t>
      </w:r>
    </w:p>
    <w:p>
      <w:pPr>
        <w:spacing w:line="360" w:lineRule="auto" w:before="0" w:after="0"/>
        <w:ind w:firstLine="720"/>
        <w:jc w:val="both"/>
      </w:pPr>
      <w:r>
        <w:rPr>
          <w:rFonts w:ascii="Times New Roman" w:hAnsi="Times New Roman"/>
          <w:b w:val="0"/>
          <w:i w:val="0"/>
          <w:sz w:val="24"/>
        </w:rPr>
        <w:t>Objetivo: Prevenir la progresión a sepsis severa durante la estancia en el servicio de Retén.</w:t>
      </w:r>
    </w:p>
    <w:p>
      <w:pPr>
        <w:spacing w:line="360" w:lineRule="auto" w:before="0" w:after="0"/>
        <w:ind w:firstLine="720"/>
        <w:jc w:val="both"/>
      </w:pPr>
      <w:r>
        <w:rPr>
          <w:rFonts w:ascii="Times New Roman" w:hAnsi="Times New Roman"/>
          <w:b w:val="0"/>
          <w:i w:val="0"/>
          <w:sz w:val="24"/>
        </w:rPr>
        <w:t>Intervenciones:</w:t>
      </w:r>
    </w:p>
    <w:p>
      <w:pPr>
        <w:spacing w:line="360" w:lineRule="auto" w:before="0" w:after="0"/>
        <w:ind w:firstLine="720"/>
        <w:jc w:val="both"/>
      </w:pPr>
      <w:r>
        <w:rPr>
          <w:rFonts w:ascii="Times New Roman" w:hAnsi="Times New Roman"/>
          <w:b w:val="0"/>
          <w:i w:val="0"/>
          <w:sz w:val="24"/>
        </w:rPr>
        <w:t>Mantener estricta técnica aséptica en el manejo y canalización de la vía venosa periférica.</w:t>
      </w:r>
    </w:p>
    <w:p>
      <w:pPr>
        <w:spacing w:line="360" w:lineRule="auto" w:before="0" w:after="0"/>
        <w:ind w:firstLine="720"/>
        <w:jc w:val="both"/>
      </w:pPr>
      <w:r>
        <w:rPr>
          <w:rFonts w:ascii="Times New Roman" w:hAnsi="Times New Roman"/>
          <w:b w:val="0"/>
          <w:i w:val="0"/>
          <w:sz w:val="24"/>
        </w:rPr>
        <w:t>Evaluar periódicamente los reportes de laboratorio (Leucocitos: 9.400 /mm³, Procalcitonina: 0,82 ng/mL).</w:t>
      </w:r>
    </w:p>
    <w:p>
      <w:pPr>
        <w:spacing w:line="360" w:lineRule="auto" w:before="0" w:after="0"/>
        <w:ind w:firstLine="720"/>
        <w:jc w:val="both"/>
      </w:pPr>
      <w:r>
        <w:rPr>
          <w:rFonts w:ascii="Times New Roman" w:hAnsi="Times New Roman"/>
          <w:b w:val="0"/>
          <w:i w:val="0"/>
          <w:sz w:val="24"/>
        </w:rPr>
        <w:t>Vigilar presencia de signos de alarma (hipotermia, letargia, llenado capilar lento).</w:t>
      </w:r>
    </w:p>
    <w:p>
      <w:pPr>
        <w:spacing w:line="360" w:lineRule="auto" w:before="0" w:after="0"/>
        <w:ind w:firstLine="720"/>
        <w:jc w:val="both"/>
      </w:pPr>
      <w:r>
        <w:rPr>
          <w:rFonts w:ascii="Times New Roman" w:hAnsi="Times New Roman"/>
          <w:b w:val="0"/>
          <w:i w:val="0"/>
          <w:sz w:val="24"/>
        </w:rPr>
        <w:t>3. Riesgo de alteración de la temperatura corporal R/C inmadurez del centro termorregulador e hipotermia leve registrada (34.8 °C).</w:t>
      </w:r>
    </w:p>
    <w:p>
      <w:pPr>
        <w:spacing w:line="360" w:lineRule="auto" w:before="0" w:after="0"/>
        <w:ind w:firstLine="720"/>
        <w:jc w:val="both"/>
      </w:pPr>
      <w:r>
        <w:rPr>
          <w:rFonts w:ascii="Times New Roman" w:hAnsi="Times New Roman"/>
          <w:b w:val="0"/>
          <w:i w:val="0"/>
          <w:sz w:val="24"/>
        </w:rPr>
        <w:t>Objetivo: Restablecer y mantener la normotermia (36.5 °C - 37.5 °C).</w:t>
      </w:r>
    </w:p>
    <w:p>
      <w:pPr>
        <w:spacing w:line="360" w:lineRule="auto" w:before="0" w:after="0"/>
        <w:ind w:firstLine="720"/>
        <w:jc w:val="both"/>
      </w:pPr>
      <w:r>
        <w:rPr>
          <w:rFonts w:ascii="Times New Roman" w:hAnsi="Times New Roman"/>
          <w:b w:val="0"/>
          <w:i w:val="0"/>
          <w:sz w:val="24"/>
        </w:rPr>
        <w:t>Intervenciones:</w:t>
      </w:r>
    </w:p>
    <w:p>
      <w:pPr>
        <w:spacing w:line="360" w:lineRule="auto" w:before="0" w:after="0"/>
        <w:ind w:firstLine="720"/>
        <w:jc w:val="both"/>
      </w:pPr>
      <w:r>
        <w:rPr>
          <w:rFonts w:ascii="Times New Roman" w:hAnsi="Times New Roman"/>
          <w:b w:val="0"/>
          <w:i w:val="0"/>
          <w:sz w:val="24"/>
        </w:rPr>
        <w:t>Mantener al neonato abrigado en cuna con confort térmico adecuado.</w:t>
      </w:r>
    </w:p>
    <w:p>
      <w:pPr>
        <w:spacing w:line="360" w:lineRule="auto" w:before="0" w:after="0"/>
        <w:ind w:firstLine="720"/>
        <w:jc w:val="both"/>
      </w:pPr>
      <w:r>
        <w:rPr>
          <w:rFonts w:ascii="Times New Roman" w:hAnsi="Times New Roman"/>
          <w:b w:val="0"/>
          <w:i w:val="0"/>
          <w:sz w:val="24"/>
        </w:rPr>
        <w:t>Controlar y registrar la temperatura corporal de forma horaria hasta su estabilización.</w:t>
      </w:r>
    </w:p>
    <w:p>
      <w:pPr>
        <w:spacing w:line="360" w:lineRule="auto" w:before="0" w:after="0"/>
        <w:ind w:firstLine="720"/>
        <w:jc w:val="both"/>
      </w:pPr>
      <w:r>
        <w:rPr>
          <w:rFonts w:ascii="Times New Roman" w:hAnsi="Times New Roman"/>
          <w:b w:val="0"/>
          <w:i w:val="0"/>
          <w:sz w:val="24"/>
        </w:rPr>
        <w:t>4. Riesgo de interrupción de la lactancia materna R/C hospitalización en el servicio de Retén.</w:t>
      </w:r>
    </w:p>
    <w:p>
      <w:pPr>
        <w:spacing w:line="360" w:lineRule="auto" w:before="0" w:after="0"/>
        <w:ind w:firstLine="720"/>
        <w:jc w:val="both"/>
      </w:pPr>
      <w:r>
        <w:rPr>
          <w:rFonts w:ascii="Times New Roman" w:hAnsi="Times New Roman"/>
          <w:b w:val="0"/>
          <w:i w:val="0"/>
          <w:sz w:val="24"/>
        </w:rPr>
        <w:t>Objetivo: Garantizar el mantenimiento de la lactancia materna y una adecuada nutrición.</w:t>
      </w:r>
    </w:p>
    <w:p>
      <w:pPr>
        <w:spacing w:line="360" w:lineRule="auto" w:before="0" w:after="0"/>
        <w:ind w:firstLine="720"/>
        <w:jc w:val="both"/>
      </w:pPr>
      <w:r>
        <w:rPr>
          <w:rFonts w:ascii="Times New Roman" w:hAnsi="Times New Roman"/>
          <w:b w:val="0"/>
          <w:i w:val="0"/>
          <w:sz w:val="24"/>
        </w:rPr>
        <w:t>Intervenciones:</w:t>
      </w:r>
    </w:p>
    <w:p>
      <w:pPr>
        <w:spacing w:line="360" w:lineRule="auto" w:before="0" w:after="0"/>
        <w:ind w:firstLine="720"/>
        <w:jc w:val="both"/>
      </w:pPr>
      <w:r>
        <w:rPr>
          <w:rFonts w:ascii="Times New Roman" w:hAnsi="Times New Roman"/>
          <w:b w:val="0"/>
          <w:i w:val="0"/>
          <w:sz w:val="24"/>
        </w:rPr>
        <w:t>Promover la entrada de la madre para fomentar el amamantamiento y el vínculo afectivo.</w:t>
      </w:r>
    </w:p>
    <w:p>
      <w:pPr>
        <w:spacing w:line="360" w:lineRule="auto" w:before="0" w:after="0"/>
        <w:ind w:firstLine="720"/>
        <w:jc w:val="both"/>
      </w:pPr>
      <w:r>
        <w:rPr>
          <w:rFonts w:ascii="Times New Roman" w:hAnsi="Times New Roman"/>
          <w:b w:val="0"/>
          <w:i w:val="0"/>
          <w:sz w:val="24"/>
        </w:rPr>
        <w:t>Administración de suplementación según esquema médico (Ácido Fólico 0,5 cc VO OD, Henroic 0,5 cc VO OD, Complejo B 0,5 cc VO OD).</w:t>
      </w:r>
    </w:p>
    <w:p>
      <w:pPr>
        <w:spacing w:line="360" w:lineRule="auto" w:before="0" w:after="0"/>
        <w:ind w:firstLine="720"/>
        <w:jc w:val="both"/>
      </w:pPr>
      <w:r>
        <w:rPr>
          <w:rFonts w:ascii="Times New Roman" w:hAnsi="Times New Roman"/>
          <w:b w:val="0"/>
          <w:i w:val="0"/>
          <w:sz w:val="24"/>
        </w:rPr>
        <w:t>5. Disposición para mejorar el conocimiento materno R/C cuidados del neonato y adherencia al tratamiento al alta.</w:t>
      </w:r>
    </w:p>
    <w:p>
      <w:pPr>
        <w:spacing w:line="360" w:lineRule="auto" w:before="0" w:after="0"/>
        <w:ind w:firstLine="720"/>
        <w:jc w:val="both"/>
      </w:pPr>
      <w:r>
        <w:rPr>
          <w:rFonts w:ascii="Times New Roman" w:hAnsi="Times New Roman"/>
          <w:b w:val="0"/>
          <w:i w:val="0"/>
          <w:sz w:val="24"/>
        </w:rPr>
        <w:t>Objetivo: La madre expresará comprensión sobre el manejo y seguimiento de la patología.</w:t>
      </w:r>
    </w:p>
    <w:p>
      <w:pPr>
        <w:spacing w:line="360" w:lineRule="auto" w:before="0" w:after="0"/>
        <w:ind w:firstLine="720"/>
        <w:jc w:val="both"/>
      </w:pPr>
      <w:r>
        <w:rPr>
          <w:rFonts w:ascii="Times New Roman" w:hAnsi="Times New Roman"/>
          <w:b w:val="0"/>
          <w:i w:val="0"/>
          <w:sz w:val="24"/>
        </w:rPr>
        <w:t>Intervenciones:</w:t>
      </w:r>
    </w:p>
    <w:p>
      <w:pPr>
        <w:spacing w:line="360" w:lineRule="auto" w:before="0" w:after="0"/>
        <w:ind w:firstLine="720"/>
        <w:jc w:val="both"/>
      </w:pPr>
      <w:r>
        <w:rPr>
          <w:rFonts w:ascii="Times New Roman" w:hAnsi="Times New Roman"/>
          <w:b w:val="0"/>
          <w:i w:val="0"/>
          <w:sz w:val="24"/>
        </w:rPr>
        <w:t>Orientar a la madre sobre la importancia de completar el tratamiento con Penicilina.</w:t>
      </w:r>
    </w:p>
    <w:p>
      <w:pPr>
        <w:spacing w:line="360" w:lineRule="auto" w:before="0" w:after="0"/>
        <w:ind w:firstLine="720"/>
        <w:jc w:val="both"/>
      </w:pPr>
      <w:r>
        <w:rPr>
          <w:rFonts w:ascii="Times New Roman" w:hAnsi="Times New Roman"/>
          <w:b w:val="0"/>
          <w:i w:val="0"/>
          <w:sz w:val="24"/>
        </w:rPr>
        <w:t>Educar sobre la identificación precoz de signos de alarma (rechazo al alimento, fiebre, somnolencia).</w:t>
      </w:r>
    </w:p>
    <w:p>
      <w:r>
        <w:br w:type="page"/>
      </w:r>
    </w:p>
    <w:p>
      <w:bookmarkStart w:id="11" w:name="bm_conclusion"/>
      <w:pPr>
        <w:spacing w:line="360" w:lineRule="auto" w:before="0" w:after="240"/>
        <w:ind w:firstLine="0"/>
        <w:jc w:val="center"/>
      </w:pPr>
      <w:r>
        <w:rPr>
          <w:rFonts w:ascii="Times New Roman" w:hAnsi="Times New Roman"/>
          <w:b w:val="0"/>
          <w:i w:val="0"/>
          <w:sz w:val="24"/>
        </w:rPr>
        <w:t>CONCLUSIONES Y RECOMENDACIONES (PERSONALES)</w:t>
      </w:r>
      <w:bookmarkEnd w:id="11" w:name="bm_conclusion"/>
    </w:p>
    <w:p>
      <w:pPr>
        <w:spacing w:line="360" w:lineRule="auto" w:before="0" w:after="120"/>
        <w:ind w:firstLine="0"/>
        <w:jc w:val="left"/>
      </w:pPr>
      <w:r>
        <w:rPr>
          <w:rFonts w:ascii="Times New Roman" w:hAnsi="Times New Roman"/>
          <w:b/>
          <w:i w:val="0"/>
          <w:sz w:val="24"/>
        </w:rPr>
        <w:t>Conclusiones</w:t>
      </w:r>
    </w:p>
    <w:p>
      <w:pPr>
        <w:spacing w:line="360" w:lineRule="auto" w:before="0" w:after="0"/>
        <w:ind w:firstLine="720"/>
        <w:jc w:val="both"/>
      </w:pPr>
      <w:r>
        <w:rPr>
          <w:rFonts w:ascii="Times New Roman" w:hAnsi="Times New Roman"/>
          <w:b w:val="0"/>
          <w:i w:val="0"/>
          <w:sz w:val="24"/>
        </w:rPr>
        <w:t>El abordaje de enfermería en el servicio de Retén es fundamental para la detección e intervención oportuna en recién nacidos expuestos a infecciones de transmisión vertical. La administración rigurosa del tratamiento antibiótico con Penicilina Cristalina y Cefotaxima, sumada a la vigilancia constante de las constantes vitales, permitió mantener la estabilidad clínica del recién nacido Liam Capriles.</w:t>
      </w:r>
    </w:p>
    <w:p>
      <w:pPr>
        <w:spacing w:line="360" w:lineRule="auto" w:before="0" w:after="120"/>
        <w:ind w:firstLine="0"/>
        <w:jc w:val="left"/>
      </w:pPr>
      <w:r>
        <w:rPr>
          <w:rFonts w:ascii="Times New Roman" w:hAnsi="Times New Roman"/>
          <w:b/>
          <w:i w:val="0"/>
          <w:sz w:val="24"/>
        </w:rPr>
        <w:t>Recomendaciones</w:t>
      </w:r>
    </w:p>
    <w:p>
      <w:pPr>
        <w:spacing w:line="360" w:lineRule="auto" w:before="0" w:after="0"/>
        <w:ind w:firstLine="720"/>
        <w:jc w:val="both"/>
      </w:pPr>
      <w:r>
        <w:rPr>
          <w:rFonts w:ascii="Times New Roman" w:hAnsi="Times New Roman"/>
          <w:b w:val="0"/>
          <w:i w:val="0"/>
          <w:sz w:val="24"/>
        </w:rPr>
        <w:t>Fortalecer las estrategias de control prenatal en el primer nivel de atención para garantizar el despistaje y tratamiento oportuno del VDRL en la embarazada, evitando la transmisión vertical de la sífilis y reduciendo la morbilidad neonatal.</w:t>
      </w:r>
    </w:p>
    <w:sectPr w:rsidR="00FC693F" w:rsidRPr="0006063C" w:rsidSect="00034616">
      <w:headerReference w:type="default" r:id="rId9"/>
      <w:footerReference w:type="first" r:id="rId10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sz w:val="24"/>
      </w:rPr>
      <w:t>Septiembre de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="360" w:lineRule="auto"/>
      <w:jc w:val="right"/>
    </w:pPr>
    <w:r>
      <w:rPr>
        <w:rFonts w:ascii="Times New Roman" w:hAnsi="Times New Roman"/>
        <w:sz w:val="24"/>
      </w:rPr>
      <w:fldChar w:fldCharType="begin"/>
      <w:instrText xml:space="preserve"> PAGE </w:instrText>
      <w:fldChar w:fldCharType="separate"/>
      <w:t>1</w:t>
      <w:fldChar w:fldCharType="end"/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updateFields w:val="true"/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