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PGTitle"/>
        <w:widowControl/>
        <w:spacing w:before="0" w:after="240" w:line="360" w:lineRule="auto"/>
        <w:ind w:left="0" w:right="0" w:firstLine="0"/>
        <w:jc w:val="center"/>
      </w:pP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DESENVOLVIMENTO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E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AVALIAÇÃO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DE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UM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PROTÓTIPO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DE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JOGO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EDUCATIVO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PARA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A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APRENDIZAGEM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DE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PROGRAMAÇÃO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ORIENTADA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A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OBJETOS</w:t>
      </w:r>
    </w:p>
    <w:p>
      <w:pPr>
        <w:pStyle w:val="PGAuthors"/>
        <w:widowControl/>
        <w:spacing w:before="0" w:after="240" w:line="360" w:lineRule="auto"/>
        <w:ind w:left="0" w:right="0" w:firstLine="0"/>
        <w:jc w:val="right"/>
      </w:pPr>
      <w:r>
        <w:rPr>
          <w:rFonts w:ascii="Arial" w:hAnsi="Arial" w:eastAsia="Arial" w:cs="Arial"/>
          <w:sz w:val="24"/>
          <w:szCs w:val="24"/>
          <w:b w:val="1"/>
          <w:bCs w:val="1"/>
        </w:rPr>
        <w:t>João Vitor Rodrigues Rocha</w:t>
        <w:br/>
        <w:t>Fabiano Naspolini de Oliveira</w:t>
      </w:r>
    </w:p>
    <w:p>
      <w:pPr>
        <w:pStyle w:val="PGSummary"/>
        <w:widowControl/>
        <w:spacing w:before="0" w:after="0" w:line="240" w:lineRule="auto"/>
        <w:ind w:left="0" w:right="0" w:firstLine="0"/>
        <w:jc w:val="both"/>
      </w:pP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Resumo:</w:t>
      </w:r>
    </w:p>
    <w:p>
      <w:pPr>
        <w:pStyle w:val="PGKeywords"/>
        <w:widowControl/>
        <w:spacing w:before="0" w:after="240" w:line="240" w:lineRule="auto"/>
        <w:ind w:left="0" w:right="0" w:firstLine="0"/>
        <w:jc w:val="both"/>
      </w:pP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Palavras-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chave:</w:t>
      </w:r>
    </w:p>
    <w:p>
      <w:pPr>
        <w:pStyle w:val="PGHeading1"/>
        <w:keepNext/>
        <w:widowControl/>
        <w:spacing w:before="240" w:after="240" w:line="240" w:lineRule="auto"/>
        <w:ind w:left="0" w:right="0" w:firstLine="0"/>
        <w:jc w:val="left"/>
        <w:outlineLvl w:val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>1 INTRODUÇÃO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ensino do paradigma de programação orientada a objetos (POO) constituiu um desafio significativo nas graduações da área da computação. Conforme o experimento realizado por Henrique e Rebouças (2015), o índice de reprovação superou 50% na maioria dos oito semestres examinados na disciplina introdutória de programação orientada a objetos da Universidade Federal da Paraíba, campus IV. O estudo também registrou abandono superior a 24% em todos os períodos analisados, entre 2009.2 e 2013.1. Esse resultado localizado não representou todas as disciplinas de POO, mas evidenciou a necessidade de investigar a dificuldade de aprendizagem desse conteúdo.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aprendizagem de POO exigiu a distinção entre a definição de uma classe e a instância criada a partir dela, assim como a compreensão da relação entre atributos, métodos, encapsulamento, herança e polimorfismo durante a execução. No levantamento de Henrique e Rebouças (2015), realizado com 74 estudantes com experiência prévia na disciplina de POO, o polimorfismo recebeu 32 indicações entre os conteúdos considerados difíceis. O estudo de Abbasi et al. (2021) também destacou a confusão entre classes, objetos, atributos e métodos, além da dificuldade na construção de hierarquias de herança.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dificuldade de aprendizagem também foi identificada em outros contextos, com intensidades distintas. Em uma disciplina de POO com Java da Universidad Nacional Tecnológica de Lima Sur, no Peru, o estudo de Díaz-Leyva e Chamorro-Atalaya (2020) registrou reprovação de 64% e 40% em dois períodos de 2019. Entre os 25 estudantes consultados em um desses períodos, a aprendizagem dos conceitos foi a dimensão percebida como mais difícil. O curso analisado não possuía carga horária teórica, circunstância que impediu atribuir os resultados apenas à natureza da POO. Em estudo brasileiro mais recente, a investigação de Araújo et al. (2025) identificou baixo desempenho em testes aplicados a 162 estudantes de um curso técnico que incluía disciplinas de lógica e de POO. Esse achado correspondeu ao conjunto investigado e não representou uma taxa isolada de reprovação em POO.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Diante desse contexto, a proposta pedagógica baseada em jogos buscou tornar o conceito observável e ampliar a oportunidade de prática. O estudo de Figueiredo et al. (2015) relatou a aplicação de uma abordagem com jogos em uma disciplina de orientação a objetos. Em experimento com 83 estudantes, a investigação de Abbasi et al. (2021) comparou um jogo sério com uma forma convencional de ensino e observou maior ganho normalizado de aprendizagem no grupo que utilizou o jogo. Esse resultado justificou a investigação de recursos lúdicos, sem permitir pressupor que qualquer novo jogo produziria o mesmo efeito.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Dessa forma, o presente trabalho teve como objetivo desenvolver um protótipo de jogo educativo para a aprendizagem de Programação Orientada a Objetos, denominado PrograMago, e elaborar o planejamento de sua avaliação. O protótipo permitiu ao estudante escrever construções de código semelhantes às de Java e observar, em uma arena, seu efeito sobre personagens e batalhas. A organização do jogo adotou desafios progressivos sobre classes, objetos, encapsulamento, herança e polimorfismo. Ao relacionar a escrita de código à mudança de estado e de comportamento do objeto representado visualmente, a proposta buscou oferecer uma forma adicional de praticar conceitos que exigiram abstração.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pesquisa partiu da seguinte questão: de que maneira um protótipo de jogo educacional sobre Programação Orientada a Objetos poderia contribuir com o ensino e com o engajamento do estudante de programação?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da pesquisa definiu os seguintes objetivos:</w:t>
      </w:r>
    </w:p>
    <w:p>
      <w:pPr>
        <w:pStyle w:val="PGList"/>
        <w:numPr>
          <w:ilvl w:val="0"/>
          <w:numId w:val="2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Objetivo geral: desenvolver um protótipo de jogo educativo que relacionasse a escrita de código a efeitos visuais para apoiar a aprendizagem de conceitos introdutórios de Programação Orientada a Objetos e planejar sua avaliação.</w:t>
      </w:r>
    </w:p>
    <w:p>
      <w:pPr>
        <w:pStyle w:val="PGList"/>
        <w:numPr>
          <w:ilvl w:val="0"/>
          <w:numId w:val="2"/>
        </w:numPr>
        <w:widowControl/>
        <w:spacing w:before="0" w:after="0" w:line="360" w:lineRule="auto"/>
        <w:ind w:left="1854" w:hanging="360"/>
        <w:jc w:val="both"/>
      </w:pP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Objetivos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específicos:</w:t>
      </w:r>
    </w:p>
    <w:p>
      <w:pPr>
        <w:pStyle w:val="PGList"/>
        <w:numPr>
          <w:ilvl w:val="1"/>
          <w:numId w:val="2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identificar, na literatura, a dificuldade recorrente na aprendizagem de Programação Orientada a Objetos e a abordagem baseada em jogos educativos;</w:t>
      </w:r>
    </w:p>
    <w:p>
      <w:pPr>
        <w:pStyle w:val="PGList"/>
        <w:numPr>
          <w:ilvl w:val="1"/>
          <w:numId w:val="2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definir o conjunto de conteúdos, desafios, regras de validação e respostas visuais que compôs o protótipo;</w:t>
      </w:r>
    </w:p>
    <w:p>
      <w:pPr>
        <w:pStyle w:val="PGList"/>
        <w:numPr>
          <w:ilvl w:val="1"/>
          <w:numId w:val="2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implementar o PrograMago e verificar tecnicamente o funcionamento das fases e dos instrumentos previstos para a coleta de dados;</w:t>
      </w:r>
    </w:p>
    <w:p>
      <w:pPr>
        <w:pStyle w:val="PGList"/>
        <w:numPr>
          <w:ilvl w:val="1"/>
          <w:numId w:val="2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planejar a aplicação do protótipo com estudantes de Engenharia de </w:t>
      </w:r>
      <w:r>
        <w:rPr>
          <w:rFonts w:ascii="Arial" w:hAnsi="Arial"/>
          <w:sz w:val="24"/>
          <w:szCs w:val="24"/>
          <w:i w:val="1"/>
        </w:rPr>
        <w:t xml:space="preserve">Software</w:t>
      </w:r>
      <w:r>
        <w:rPr>
          <w:rFonts w:ascii="Arial" w:hAnsi="Arial"/>
          <w:sz w:val="24"/>
          <w:szCs w:val="24"/>
        </w:rPr>
        <w:t xml:space="preserve"> e a coleta de suas percepções por meio de um formulário após a utilização do jogo; e</w:t>
      </w:r>
    </w:p>
    <w:p>
      <w:pPr>
        <w:pStyle w:val="PGList"/>
        <w:numPr>
          <w:ilvl w:val="1"/>
          <w:numId w:val="2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definir a análise das percepções de aprendizagem, engajamento, usabilidade e das dificuldades relacionadas à utilização do protótipo.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relevância do estudo esteve na necessidade de oferecer ao estudante a oportunidade de praticar conceitos abstratos de POO e receber retorno sobre a construção elaborada. O planejamento da avaliação com o público-alvo contemplou o exame da experiência de uso do protótipo e a identificação de ajustes necessários, sem tratar a percepção relatada como prova causal de eficácia.</w:t>
      </w:r>
    </w:p>
    <w:p>
      <w:pPr>
        <w:pStyle w:val="PGHeading1"/>
        <w:keepNext/>
        <w:widowControl/>
        <w:spacing w:before="240" w:after="240" w:line="240" w:lineRule="auto"/>
        <w:ind w:left="0" w:right="0" w:firstLine="0"/>
        <w:jc w:val="left"/>
        <w:outlineLvl w:val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>2 PROCEDIMENTO EXPERIMENTAL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pesquisa foi caracterizada como aplicada por ter produzido e examinado um artefato destinado a uma necessidade prática de ensino e aprendizagem. Quanto aos objetivos, o estudo assumiu caráter exploratório, pela busca de maior familiaridade com o uso de um jogo educativo no contexto investigado, e descritivo, pela previsão de registro das percepções e das dificuldades do participante. O planejamento adotou uma abordagem predominantemente qualitativa, com análise das respostas abertas de um formulário de avaliação, apoiada por dados quantitativos descritivos das questões fechadas. Essa caracterização seguiu a definição apresentada por Gerhardt e Silveira (2009).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 w:eastAsia="Arial" w:cs="Arial"/>
          <w:sz w:val="24"/>
          <w:szCs w:val="24"/>
          <w:b w:val="0"/>
          <w:bCs w:val="0"/>
        </w:rPr>
        <w:t>2.1 MATERIAIS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Para o desenvolvimento do protótipo, a documentação do processo e o planejamento da coleta de dados, o projeto selecionou as ferramentas e os instrumentos descritos a seguir.</w:t>
      </w:r>
    </w:p>
    <w:p>
      <w:pPr>
        <w:pStyle w:val="PGList"/>
        <w:numPr>
          <w:ilvl w:val="0"/>
          <w:numId w:val="3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Unity e C#: o desenvolvimento do protótipo utilizou o Unity Editor 6000.3.11f1, com </w:t>
      </w:r>
      <w:r>
        <w:rPr>
          <w:rFonts w:ascii="Arial" w:hAnsi="Arial"/>
          <w:sz w:val="24"/>
          <w:szCs w:val="24"/>
          <w:i w:val="1"/>
        </w:rPr>
        <w:t xml:space="preserve">scripts</w:t>
      </w:r>
      <w:r>
        <w:rPr>
          <w:rFonts w:ascii="Arial" w:hAnsi="Arial"/>
          <w:sz w:val="24"/>
          <w:szCs w:val="24"/>
        </w:rPr>
        <w:t xml:space="preserve"> em C# e recursos voltados a jogos bidimensionais. A verificação automatizada empregou o Unity Test Framework 1.6.0.</w:t>
      </w:r>
    </w:p>
    <w:p>
      <w:pPr>
        <w:pStyle w:val="PGList"/>
        <w:numPr>
          <w:ilvl w:val="0"/>
          <w:numId w:val="3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ChatGPT e Codex: o processo de desenvolvimento, incluindo a escrita do trabalho, recebeu apoio das ferramentas da OpenAI, com os modelos GPT-5.6 Sol, GPT-6.0 Astra, GPT-5.6 Luna e GPT-6.1 Sol. Esse apoio abrangeu a análise de requisitos, a estruturação do código, a implementação, a elaboração de testes, a investigação de erros e a documentação técnica. Na produção acadêmica, o apoio contemplou a organização de ideias, a estruturação de seções e a revisão textual. O autor avaliou as respostas geradas e permaneceu responsável pelas decisões técnicas e pelo conteúdo final do trabalho.</w:t>
      </w:r>
    </w:p>
    <w:p>
      <w:pPr>
        <w:pStyle w:val="PGList"/>
        <w:numPr>
          <w:ilvl w:val="0"/>
          <w:numId w:val="3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Linear: o acompanhamento do desenvolvimento utilizou a plataforma para documentar o processo e organizar a atividade em </w:t>
      </w:r>
      <w:r>
        <w:rPr>
          <w:rFonts w:ascii="Arial" w:hAnsi="Arial"/>
          <w:sz w:val="24"/>
          <w:szCs w:val="24"/>
          <w:i w:val="1"/>
        </w:rPr>
        <w:t xml:space="preserve">cards</w:t>
      </w:r>
      <w:r>
        <w:rPr>
          <w:rFonts w:ascii="Arial" w:hAnsi="Arial"/>
          <w:sz w:val="24"/>
          <w:szCs w:val="24"/>
        </w:rPr>
        <w:t xml:space="preserve">. O registro de cada item reuniu a tarefa, seu andamento e a entrega prevista. O trabalho seguiu uma cadência de entregas semanais, também documentada na plataforma.</w:t>
      </w:r>
    </w:p>
    <w:p>
      <w:pPr>
        <w:pStyle w:val="PGList"/>
        <w:numPr>
          <w:ilvl w:val="0"/>
          <w:numId w:val="3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Git: o controle de versão registrou o histórico de alterações no código-fonte e nos demais arquivos do projeto por meio de </w:t>
      </w:r>
      <w:r>
        <w:rPr>
          <w:rFonts w:ascii="Arial" w:hAnsi="Arial"/>
          <w:sz w:val="24"/>
          <w:szCs w:val="24"/>
          <w:i w:val="1"/>
        </w:rPr>
        <w:t xml:space="preserve">commits</w:t>
      </w:r>
      <w:r>
        <w:rPr>
          <w:rFonts w:ascii="Arial" w:hAnsi="Arial"/>
          <w:sz w:val="24"/>
          <w:szCs w:val="24"/>
        </w:rPr>
        <w:t xml:space="preserve">.</w:t>
      </w:r>
    </w:p>
    <w:p>
      <w:pPr>
        <w:pStyle w:val="PGList"/>
        <w:numPr>
          <w:ilvl w:val="0"/>
          <w:numId w:val="3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GitHub: o projeto utilizou a plataforma como repositório remoto, com armazenamento centralizado do código e preservação das versões enviadas com o Git.</w:t>
      </w:r>
    </w:p>
    <w:p>
      <w:pPr>
        <w:pStyle w:val="PGList"/>
        <w:numPr>
          <w:ilvl w:val="0"/>
          <w:numId w:val="3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Google Forms: o planejamento da avaliação selecionou a plataforma para disponibilizar o formulário ao estudante após a utilização do protótipo. A definição do instrumento previu perguntas sobre a experiência de uso, a clareza das explicações, a facilidade de interação, o interesse em continuar jogando e programando e a dificuldade encontrada. A elaboração final das perguntas permaneceu pendente.</w:t>
      </w:r>
    </w:p>
    <w:p>
      <w:pPr>
        <w:pStyle w:val="PGList"/>
        <w:numPr>
          <w:ilvl w:val="0"/>
          <w:numId w:val="3"/>
        </w:numPr>
        <w:widowControl/>
        <w:spacing w:before="0" w:after="0" w:line="360" w:lineRule="auto"/>
        <w:ind w:left="1854" w:hanging="360"/>
        <w:jc w:val="both"/>
      </w:pPr>
      <w:r>
        <w:rPr>
          <w:rFonts w:ascii="Arial" w:hAnsi="Arial"/>
          <w:sz w:val="24"/>
          <w:szCs w:val="24"/>
        </w:rPr>
        <w:t xml:space="preserve">Planilha eletrônica: o planejamento da análise previu o uso desse instrumento para organizar as respostas coletadas e calcular frequências e medidas descritivas.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da coleta adotou o formulário como instrumento e estabeleceu a necessidade de definir o número de participantes, as perguntas e as orientações finais antes da distribuição do protótipo. A etapa de aplicação com estudantes e coleta de respostas ainda não ocorreu; por isso, o trabalho não apresentou uma quantidade efetiva de respostas nem um perfil observado dos participantes.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 w:eastAsia="Arial" w:cs="Arial"/>
          <w:sz w:val="24"/>
          <w:szCs w:val="24"/>
          <w:b w:val="0"/>
          <w:bCs w:val="0"/>
        </w:rPr>
        <w:t>2.2 MÉTODOS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organizou o procedimento em seis etapas sequenciais, apresentadas na Figura 1. Essa organização relacionou o desenvolvimento do artefato, sua verificação, a aplicação prevista com o público-alvo e a análise proposta aos objetivos específicos da pesquisa.</w:t>
      </w:r>
    </w:p>
    <w:p>
      <w:pPr>
        <w:pStyle w:val="PGCaption"/>
        <w:keepNext/>
        <w:widowControl/>
        <w:spacing w:before="0" w:after="0" w:line="240" w:lineRule="auto"/>
        <w:ind w:left="0" w:right="0" w:firstLine="0"/>
        <w:jc w:val="center"/>
      </w:pP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Figura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1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-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Etapas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da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pesquisa</w:t>
      </w:r>
    </w:p>
    <w:p>
      <w:pPr>
        <w:pStyle w:val="PGFigure"/>
        <w:keepNext/>
        <w:widowControl/>
        <w:spacing w:before="0" w:after="0" w:line="240" w:lineRule="auto"/>
        <w:ind w:left="0" w:right="0" w:firstLine="0"/>
        <w:jc w:val="center"/>
      </w:pP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1895621</wp:posOffset>
            </wp:positionH>
            <wp:positionV relativeFrom="paragraph">
              <wp:posOffset>276848</wp:posOffset>
            </wp:positionV>
            <wp:extent cx="4137169" cy="328041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7169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GSource"/>
        <w:widowControl/>
        <w:spacing w:before="0" w:after="0" w:line="240" w:lineRule="auto"/>
        <w:ind w:left="0" w:right="0" w:firstLine="0"/>
        <w:jc w:val="center"/>
      </w:pPr>
      <w:r>
        <w:rPr>
          <w:color w:val="000000"/>
          <w:rFonts w:ascii="Arial" w:hAnsi="Arial" w:eastAsia="Arial" w:cs="Arial"/>
          <w:sz w:val="20"/>
          <w:szCs w:val="20"/>
          <w:b w:val="0"/>
          <w:bCs w:val="0"/>
        </w:rPr>
        <w:t>Fonte:</w:t>
      </w:r>
      <w:r>
        <w:rPr>
          <w:color w:val="000000"/>
          <w:rFonts w:ascii="Arial" w:hAnsi="Arial" w:eastAsia="Arial" w:cs="Arial"/>
          <w:sz w:val="20"/>
          <w:szCs w:val="20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0"/>
          <w:szCs w:val="20"/>
          <w:b w:val="0"/>
          <w:bCs w:val="0"/>
        </w:rPr>
        <w:t>elaborado</w:t>
      </w:r>
      <w:r>
        <w:rPr>
          <w:color w:val="000000"/>
          <w:rFonts w:ascii="Arial" w:hAnsi="Arial" w:eastAsia="Arial" w:cs="Arial"/>
          <w:sz w:val="20"/>
          <w:szCs w:val="20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0"/>
          <w:szCs w:val="20"/>
          <w:b w:val="0"/>
          <w:bCs w:val="0"/>
        </w:rPr>
        <w:t>pelo</w:t>
      </w:r>
      <w:r>
        <w:rPr>
          <w:color w:val="000000"/>
          <w:rFonts w:ascii="Arial" w:hAnsi="Arial" w:eastAsia="Arial" w:cs="Arial"/>
          <w:sz w:val="20"/>
          <w:szCs w:val="20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0"/>
          <w:szCs w:val="20"/>
          <w:b w:val="0"/>
          <w:bCs w:val="0"/>
        </w:rPr>
        <w:t>autor</w:t>
      </w:r>
      <w:r>
        <w:rPr>
          <w:color w:val="000000"/>
          <w:rFonts w:ascii="Arial" w:hAnsi="Arial" w:eastAsia="Arial" w:cs="Arial"/>
          <w:sz w:val="20"/>
          <w:szCs w:val="20"/>
          <w:b w:val="0"/>
          <w:bCs w:val="0"/>
        </w:rPr>
        <w:t> (2026).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primeira etapa consistiu na revisão de estudos sobre a dificuldade de aprendizagem de POO e sobre intervenções com jogos educativos. Em seguida, o desenvolvimento definiu o escopo pedagógico, a sequência de desafios, a explicação, a regra de validação do código e a resposta visual da arena. A implementação no Unity recebeu verificação com entradas válidas e inválidas, abrangendo declaração de classes, instanciação, atributos, construtores, métodos, encapsulamento, herança, sobrescrita e polimorfismo.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desenvolvimento do protótipo ocorreu em ciclos semanais. Em cada ciclo, o acompanhamento registrou a atividade em </w:t>
      </w:r>
      <w:r>
        <w:rPr>
          <w:rFonts w:ascii="Arial" w:hAnsi="Arial"/>
          <w:sz w:val="24"/>
          <w:szCs w:val="24"/>
          <w:i w:val="1"/>
        </w:rPr>
        <w:t xml:space="preserve">cards</w:t>
      </w:r>
      <w:r>
        <w:rPr>
          <w:rFonts w:ascii="Arial" w:hAnsi="Arial"/>
          <w:sz w:val="24"/>
          <w:szCs w:val="24"/>
        </w:rPr>
        <w:t xml:space="preserve"> no Linear até sua conclusão, com o registro da entrega correspondente. O Git manteve o histórico local das alterações, enquanto o GitHub armazenou remotamente as versões do projeto.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da avaliação delimitou o público a estudantes de Engenharia de </w:t>
      </w:r>
      <w:r>
        <w:rPr>
          <w:rFonts w:ascii="Arial" w:hAnsi="Arial"/>
          <w:sz w:val="24"/>
          <w:szCs w:val="24"/>
          <w:i w:val="1"/>
        </w:rPr>
        <w:t xml:space="preserve">Software</w:t>
      </w:r>
      <w:r>
        <w:rPr>
          <w:rFonts w:ascii="Arial" w:hAnsi="Arial"/>
          <w:sz w:val="24"/>
          <w:szCs w:val="24"/>
        </w:rPr>
        <w:t xml:space="preserve"> de uma turma de pequeno porte. A proposta adotou participação voluntária e amostragem não probabilística por conveniência e adesão. O número de estudantes permaneceu sem definição. O planejamento também incluiu a verificação da versão distribuída do protótipo e da clareza das instruções de acesso ao jogo e ao formulário antes da aplicação.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Para a aplicação, o planejamento previu a geração de uma versão executável (</w:t>
      </w:r>
      <w:r>
        <w:rPr>
          <w:rFonts w:ascii="Arial" w:hAnsi="Arial"/>
          <w:sz w:val="24"/>
          <w:szCs w:val="24"/>
          <w:i w:val="1"/>
        </w:rPr>
        <w:t xml:space="preserve">build</w:t>
      </w:r>
      <w:r>
        <w:rPr>
          <w:rFonts w:ascii="Arial" w:hAnsi="Arial"/>
          <w:sz w:val="24"/>
          <w:szCs w:val="24"/>
        </w:rPr>
        <w:t xml:space="preserve">) do PrograMago e seu envio ao estudante junto às orientações de uso e ao </w:t>
      </w:r>
      <w:r>
        <w:rPr>
          <w:rFonts w:ascii="Arial" w:hAnsi="Arial"/>
          <w:sz w:val="24"/>
          <w:szCs w:val="24"/>
          <w:i w:val="1"/>
        </w:rPr>
        <w:t xml:space="preserve">link</w:t>
      </w:r>
      <w:r>
        <w:rPr>
          <w:rFonts w:ascii="Arial" w:hAnsi="Arial"/>
          <w:sz w:val="24"/>
          <w:szCs w:val="24"/>
        </w:rPr>
        <w:t xml:space="preserve"> do formulário no Google Forms. O procedimento proposto condicionou a participação ao recebimento das informações sobre a pesquisa e ao consentimento. A proposta compreendeu a utilização do protótipo seguida da avaliação por formulário, sem pré-teste ou pós-teste. Essa aplicação ainda não ocorreu.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da análise estabeleceu a organização das respostas fechadas em planilha e a síntese por frequências e, conforme a quantidade de respostas, por percentuais. Para a resposta aberta, a proposta adotou agrupamento por temas, como clareza das explicações, facilidade de uso, interesse em continuar programando, compreensão percebida dos conceitos e dificuldade encontrada. A análise proposta teve caráter descritivo e exploratório. O delineamento se limitou à experiência relatada após o uso do jogo e não estabeleceu uma medida objetiva de ganho de aprendizagem nem de efeito causal do protótipo.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condicionou o recrutamento à confirmação das exigências éticas aplicáveis com o orientador e com a instituição. A proposta estabeleceu participação voluntária, consentimento informado e possibilidade de interrupção sem prejuízo ao estudante. O tratamento previsto adotou identificação por código e acesso restrito aos responsáveis pela pesquisa. O registro desse planejamento não correspondeu à realização do recrutamento ou da coleta.</w:t>
      </w:r>
    </w:p>
    <w:p>
      <w:pPr>
        <w:pStyle w:val="PGHeading1"/>
        <w:keepNext/>
        <w:widowControl/>
        <w:spacing w:before="240" w:after="240" w:line="240" w:lineRule="auto"/>
        <w:ind w:left="0" w:right="0" w:firstLine="0"/>
        <w:jc w:val="left"/>
        <w:outlineLvl w:val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>3 DESENVOLVIMENTO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Esta seção descreveu a concepção do PrograMago, a organização de sua implementação e o percurso de atividades que relacionou a escrita de código à atuação de um mago em uma arena. A descrição também abordou a decisão técnica, a organização da cena e o apoio de ferramentas de inteligência artificial durante o desenvolvimento.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 w:eastAsia="Arial" w:cs="Arial"/>
          <w:sz w:val="24"/>
          <w:szCs w:val="24"/>
          <w:b w:val="0"/>
          <w:bCs w:val="0"/>
        </w:rPr>
        <w:t>3.1 PROJETO E ESCOPO DO PROTÓTIPO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desenvolvimento concebeu o PrograMago como um jogo educativo bidimensional, com ambientação de fantasia e elementos de RPG, destinado à prática de conceitos introdutórios de Programação Orientada a Objetos. A proposta respondeu à dificuldade de compreender e relacionar conceitos abstratos, apresentada na introdução, ao associar a escrita de código à representação visual do personagem, de seus atributos e de sua ação na arena.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concepção do jogo adotou como referências Peglin, desenvolvido pela Red Nexus Games, e </w:t>
      </w:r>
      <w:r>
        <w:rPr>
          <w:rFonts w:ascii="Arial" w:hAnsi="Arial"/>
          <w:sz w:val="24"/>
          <w:szCs w:val="24"/>
          <w:i w:val="1"/>
        </w:rPr>
        <w:t xml:space="preserve">The Farmer Was Replaced</w:t>
      </w:r>
      <w:r>
        <w:rPr>
          <w:rFonts w:ascii="Arial" w:hAnsi="Arial"/>
          <w:sz w:val="24"/>
          <w:szCs w:val="24"/>
        </w:rPr>
        <w:t xml:space="preserve">, desenvolvido por Timon Herzog, ambos disponibilizados na Steam. Peglin serviu de referência para a organização da experiência em torno de um personagem que enfrentou adversários e progrediu por desafios. </w:t>
      </w:r>
      <w:r>
        <w:rPr>
          <w:rFonts w:ascii="Arial" w:hAnsi="Arial"/>
          <w:sz w:val="24"/>
          <w:szCs w:val="24"/>
          <w:i w:val="1"/>
        </w:rPr>
        <w:t xml:space="preserve">The Farmer Was Replaced</w:t>
      </w:r>
      <w:r>
        <w:rPr>
          <w:rFonts w:ascii="Arial" w:hAnsi="Arial"/>
          <w:sz w:val="24"/>
          <w:szCs w:val="24"/>
        </w:rPr>
        <w:t xml:space="preserve"> contribuiu como referência para a interação na qual o jogador escreveu código e observou sua execução no ambiente do jogo (Herzog, 2025; Red Nexus Games, 2024). Essa seleção orientou a concepção do PrograMago, com conteúdo direcionado à aprendizagem de POO.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proposta organizou a construção gradual do código que representou o mago e seu adversário. Cada desafio concluído associou a construção escrita à capacidade ou ao comportamento do personagem. A progressão ofereceu ao jogador um motivo para continuar programando: a aprendizagem de um novo conceito possibilitou ampliar a construção do mago e enfrentar outro desafio. O desenvolvimento tratou o interesse e o engajamento como finalidade da proposta; a avaliação de sua ocorrência com estudantes permaneceu pendente.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 w:eastAsia="Arial" w:cs="Arial"/>
          <w:sz w:val="24"/>
          <w:szCs w:val="24"/>
          <w:b w:val="0"/>
          <w:bCs w:val="0"/>
        </w:rPr>
        <w:t>3.2 ARQUITETURA E IMPLEMENTAÇÃO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desenvolvimento do protótipo utilizou o Unity e </w:t>
      </w:r>
      <w:r>
        <w:rPr>
          <w:rFonts w:ascii="Arial" w:hAnsi="Arial"/>
          <w:sz w:val="24"/>
          <w:szCs w:val="24"/>
          <w:i w:val="1"/>
        </w:rPr>
        <w:t xml:space="preserve">scripts</w:t>
      </w:r>
      <w:r>
        <w:rPr>
          <w:rFonts w:ascii="Arial" w:hAnsi="Arial"/>
          <w:sz w:val="24"/>
          <w:szCs w:val="24"/>
        </w:rPr>
        <w:t xml:space="preserve"> em C#. Para o código escrito pelo jogador, a implementação adotou um subconjunto de construções semelhantes às de Java, selecionado conforme a atividade pedagógica. Essa separação permitiu utilizar o motor de jogos na implementação e oferecer ao estudante uma linguagem de interação centrada no conteúdo de POO abordado nas fases.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arquitetura separou a regra do jogo e da aprendizagem, a validação da atividade e a apresentação da interface e da arena. A definição de cada fase reuniu o conceito abordado, sua explicação, sua finalidade, um exemplo de uso, o efeito esperado, a tarefa e a dica. Essa organização vinculou a explicação conceitual à ação realizada pelo estudante no código.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interface reuniu espaços de código para o mago, o inimigo, os ajustes de atributos e a estratégia, disponibilizados conforme a progressão. O fluxo de interação permitiu escrever ou modificar o código e solicitar sua validação. O sistema verificou a construção exigida e a regra da atividade; ao identificar um problema, a interface apresentou a orientação para correção. A implementação converteu o código aceito em dados e ações reconhecidos pelo protótipo, sem depender da execução de um programa Java completo.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processo de desenvolvimento partiu da definição da proposta e da sequência pedagógica, seguida pela implementação da escrita e da validação do código, da representação do personagem e do combate. A ampliação do protótipo incluiu métodos, especializações elementais e sobrescrita. A verificação técnica empregou testes automatizados para a regra e o fluxo do protótipo.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acompanhamento do desenvolvimento registrou o processo no projeto PrograMago no Linear. A divisão do trabalho em </w:t>
      </w:r>
      <w:r>
        <w:rPr>
          <w:rFonts w:ascii="Arial" w:hAnsi="Arial"/>
          <w:sz w:val="24"/>
          <w:szCs w:val="24"/>
          <w:i w:val="1"/>
        </w:rPr>
        <w:t xml:space="preserve">issues</w:t>
      </w:r>
      <w:r>
        <w:rPr>
          <w:rFonts w:ascii="Arial" w:hAnsi="Arial"/>
          <w:sz w:val="24"/>
          <w:szCs w:val="24"/>
        </w:rPr>
        <w:t xml:space="preserve"> permitiu definir o escopo da tarefa, acompanhar seu andamento e documentar a alteração realizada. Esse registro reuniu a evolução do protótipo e a decisão associada a cada entrega. O repositório do PrograMago no GitHub armazenou o código-fonte e o histórico de versões, com registro por </w:t>
      </w:r>
      <w:r>
        <w:rPr>
          <w:rFonts w:ascii="Arial" w:hAnsi="Arial"/>
          <w:sz w:val="24"/>
          <w:szCs w:val="24"/>
          <w:i w:val="1"/>
        </w:rPr>
        <w:t xml:space="preserve">commits</w:t>
      </w:r>
      <w:r>
        <w:rPr>
          <w:rFonts w:ascii="Arial" w:hAnsi="Arial"/>
          <w:sz w:val="24"/>
          <w:szCs w:val="24"/>
        </w:rPr>
        <w:t xml:space="preserve"> no Git. O Linear concentrou o acompanhamento da atividade, enquanto o repositório preservou as versões do artefato produzido. O endereço registrado para o repositório foi https://github.com/Jotas-V/PrograMago.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processo de desenvolvimento, incluindo a escrita acadêmica, também recebeu apoio de ferramentas de inteligência artificial, conforme descrito em Materiais. O apoio utilizou ChatGPT e Codex com os modelos GPT-5.6 Sol, GPT-6.0 Astra, GPT-5.6 Luna e GPT-6.1 Sol e abrangeu a organização de ideias, a análise de requisitos, a elaboração e a revisão de código e testes, a investigação de erros e a revisão textual. O autor examinou a sugestão recebida e manteve a responsabilidade pela seleção da solução e pelo conteúdo final.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 w:eastAsia="Arial" w:cs="Arial"/>
          <w:sz w:val="24"/>
          <w:szCs w:val="24"/>
          <w:b w:val="0"/>
          <w:bCs w:val="0"/>
        </w:rPr>
        <w:t>3.3 FASES E CONTEÚDOS DE PROGRAMAÇÃO ORIENTADA A OBJETOS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percurso pedagógico foi estruturado em nove fases cumulativas. Sua organização concentrou as quatro primeiras etapas na construção do mago e na manipulação de seu estado. A quinta fase introduziu a primeira batalha, e a continuidade do percurso associou o comportamento e a especialização à ação na arena. A sequência contemplou classes, atributos, objetos, construtores, encapsulamento, métodos, herança, sobrescrita e polimorfismo, além da sintaxe necessária à atividade.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Na fase 1, a atividade solicitou ao estudante a declaração da classe Mago. A explicação apresentou a classe como um molde de características e comportamentos de objetos de um mesmo tipo. A declaração estabeleceu a estrutura ampliada ao longo das fases seguintes.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Na fase 2, a atividade solicitou a declaração dos atributos privados vida, dano, alcance, iniciativa e velocidadeAtaque. Essa definição representou o estado do mago e sua capacidade no jogo. A introdução do modificador </w:t>
      </w:r>
      <w:r>
        <w:rPr>
          <w:rFonts w:ascii="Arial" w:hAnsi="Arial"/>
          <w:sz w:val="24"/>
          <w:szCs w:val="24"/>
          <w:i w:val="1"/>
        </w:rPr>
        <w:t xml:space="preserve">private</w:t>
      </w:r>
      <w:r>
        <w:rPr>
          <w:rFonts w:ascii="Arial" w:hAnsi="Arial"/>
          <w:sz w:val="24"/>
          <w:szCs w:val="24"/>
        </w:rPr>
        <w:t xml:space="preserve"> abordou o encapsulamento pela restrição de acesso direto aos dados internos.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Na fase 3, a atividade abordou a implementação do construtor e a criação de uma instância de Mago com </w:t>
      </w:r>
      <w:r>
        <w:rPr>
          <w:rFonts w:ascii="Arial" w:hAnsi="Arial"/>
          <w:sz w:val="24"/>
          <w:szCs w:val="24"/>
          <w:i w:val="1"/>
        </w:rPr>
        <w:t xml:space="preserve">new</w:t>
      </w:r>
      <w:r>
        <w:rPr>
          <w:rFonts w:ascii="Arial" w:hAnsi="Arial"/>
          <w:sz w:val="24"/>
          <w:szCs w:val="24"/>
        </w:rPr>
        <w:t xml:space="preserve">. O uso de </w:t>
      </w:r>
      <w:r>
        <w:rPr>
          <w:rFonts w:ascii="Arial" w:hAnsi="Arial"/>
          <w:sz w:val="24"/>
          <w:szCs w:val="24"/>
          <w:i w:val="1"/>
        </w:rPr>
        <w:t xml:space="preserve">this</w:t>
      </w:r>
      <w:r>
        <w:rPr>
          <w:rFonts w:ascii="Arial" w:hAnsi="Arial"/>
          <w:sz w:val="24"/>
          <w:szCs w:val="24"/>
        </w:rPr>
        <w:t xml:space="preserve"> relacionou o parâmetro recebido ao atributo do próprio objeto. A proposta distinguiu a classe do objeto criado a partir dela e associou o valor definido à capacidade inicial do personagem. A regra de validação estabeleceu o intervalo de 1 a 15 para cada atributo e o limite de 25 pontos na soma.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Na fase 4, a atividade solicitou a implementação de métodos </w:t>
      </w:r>
      <w:r>
        <w:rPr>
          <w:rFonts w:ascii="Arial" w:hAnsi="Arial"/>
          <w:sz w:val="24"/>
          <w:szCs w:val="24"/>
          <w:i w:val="1"/>
        </w:rPr>
        <w:t xml:space="preserve">setters</w:t>
      </w:r>
      <w:r>
        <w:rPr>
          <w:rFonts w:ascii="Arial" w:hAnsi="Arial"/>
          <w:sz w:val="24"/>
          <w:szCs w:val="24"/>
        </w:rPr>
        <w:t xml:space="preserve"> para os cinco atributos. A prática abordou a assinatura de método, o parâmetro e a atribuição, com modificação do estado por uma interface pública, sem acesso direto ao campo privado. O espaço de ajustes permitiu redistribuir o valor antes do combate, mantendo a regra de pontuação.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Na fase 5, a atividade solicitou a declaração da classe Inimigo, com atributos privados para nome, vida e elemento, um construtor e o método getElemento(). A instanciação do Boneco de Treinamento adotou 10 pontos de vida e elemento neutro. A proposta retomou classes, atributos, construtores e objetos, acrescentou a consulta de estado por um </w:t>
      </w:r>
      <w:r>
        <w:rPr>
          <w:rFonts w:ascii="Arial" w:hAnsi="Arial"/>
          <w:sz w:val="24"/>
          <w:szCs w:val="24"/>
          <w:i w:val="1"/>
        </w:rPr>
        <w:t xml:space="preserve">getter</w:t>
      </w:r>
      <w:r>
        <w:rPr>
          <w:rFonts w:ascii="Arial" w:hAnsi="Arial"/>
          <w:sz w:val="24"/>
          <w:szCs w:val="24"/>
        </w:rPr>
        <w:t xml:space="preserve"> e introduziu a interação entre o mago e o inimigo na primeira batalha.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Na fase 6, a atividade introduziu o método lancarMagia, com recebimento de um objeto Inimigo como parâmetro. O uso da declaração desse comportamento na classe Mago, associado à sua chamada pela instância criada, relacionou método, parâmetro e tipo de retorno </w:t>
      </w:r>
      <w:r>
        <w:rPr>
          <w:rFonts w:ascii="Arial" w:hAnsi="Arial"/>
          <w:sz w:val="24"/>
          <w:szCs w:val="24"/>
          <w:i w:val="1"/>
        </w:rPr>
        <w:t xml:space="preserve">void</w:t>
      </w:r>
      <w:r>
        <w:rPr>
          <w:rFonts w:ascii="Arial" w:hAnsi="Arial"/>
          <w:sz w:val="24"/>
          <w:szCs w:val="24"/>
        </w:rPr>
        <w:t xml:space="preserve"> à colaboração entre objetos. O lançamento da magia representou a execução de uma ação do mago dirigida ao adversário.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Na fase 7, a atividade abordou a herança pela declaração de Piromante como subclasse de Mago, com </w:t>
      </w:r>
      <w:r>
        <w:rPr>
          <w:rFonts w:ascii="Arial" w:hAnsi="Arial"/>
          <w:sz w:val="24"/>
          <w:szCs w:val="24"/>
          <w:i w:val="1"/>
        </w:rPr>
        <w:t xml:space="preserve">extends</w:t>
      </w:r>
      <w:r>
        <w:rPr>
          <w:rFonts w:ascii="Arial" w:hAnsi="Arial"/>
          <w:sz w:val="24"/>
          <w:szCs w:val="24"/>
        </w:rPr>
        <w:t xml:space="preserve">. A especialização representou a forma de fogo do personagem e permitiu discutir o reaproveitamento da estrutura da classe base. A etapa manteve a forma Piromante definida pelo desafio, sem exigir ainda uma estratégia condicional.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Na fase 8, a atividade solicitou a sobrescrita de lancarMagia em Piromante, com </w:t>
      </w:r>
      <w:r>
        <w:rPr>
          <w:rFonts w:ascii="Arial" w:hAnsi="Arial"/>
          <w:sz w:val="24"/>
          <w:szCs w:val="24"/>
          <w:i w:val="1"/>
        </w:rPr>
        <w:t xml:space="preserve">@Override</w:t>
      </w:r>
      <w:r>
        <w:rPr>
          <w:rFonts w:ascii="Arial" w:hAnsi="Arial"/>
          <w:sz w:val="24"/>
          <w:szCs w:val="24"/>
        </w:rPr>
        <w:t xml:space="preserve"> e uma chamada com </w:t>
      </w:r>
      <w:r>
        <w:rPr>
          <w:rFonts w:ascii="Arial" w:hAnsi="Arial"/>
          <w:sz w:val="24"/>
          <w:szCs w:val="24"/>
          <w:i w:val="1"/>
        </w:rPr>
        <w:t xml:space="preserve">super</w:t>
      </w:r>
      <w:r>
        <w:rPr>
          <w:rFonts w:ascii="Arial" w:hAnsi="Arial"/>
          <w:sz w:val="24"/>
          <w:szCs w:val="24"/>
        </w:rPr>
        <w:t xml:space="preserve"> para o comportamento da classe base. O confronto utilizou o Golem de Gelo, com 12 pontos de vida, em substituição ao Boneco de Treinamento. A proposta abordou a redefinição de um método herdado e relacionou a especialização elemental ao efeito da magia sobre o adversário de gelo.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fase 9 integrou o polimorfismo à estratégia condicional diante de quatro inimigos: Boneco de Treinamento, Golem de Gelo, Elemental de Fogo e Slime Aquático. A atividade utilizou uma referência do tipo Mago para representar a instância da classe base ou de uma especialização. A seleção com </w:t>
      </w:r>
      <w:r>
        <w:rPr>
          <w:rFonts w:ascii="Arial" w:hAnsi="Arial"/>
          <w:sz w:val="24"/>
          <w:szCs w:val="24"/>
          <w:i w:val="1"/>
        </w:rPr>
        <w:t xml:space="preserve">if/else</w:t>
      </w:r>
      <w:r>
        <w:rPr>
          <w:rFonts w:ascii="Arial" w:hAnsi="Arial"/>
          <w:sz w:val="24"/>
          <w:szCs w:val="24"/>
        </w:rPr>
        <w:t xml:space="preserve"> consultou o elemento do alvo e definiu Piromante para gelo, Hidromante para fogo e Eletromante para água, com retorno à forma neutra no caso restante. A etapa terminou com uma única chamada lancarMagia(alvo), pela referência selecionada. A integração preservou a vida e a posição do mago durante a troca de forma.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organização do percurso retomou o conceito abordado anteriormente em uma atividade posterior. A estrutura criada no início recebeu atributos, construtor e métodos antes de servir como base para a especialização. Essa continuidade apresentou a ampliação de uma mesma construção e permitiu relacionar conceitos, em vez de limitar a prática a exemplos isolados.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 w:eastAsia="Arial" w:cs="Arial"/>
          <w:sz w:val="24"/>
          <w:szCs w:val="24"/>
          <w:b w:val="0"/>
          <w:bCs w:val="0"/>
        </w:rPr>
        <w:t>3.4 COMBATE E ESPECIALIZAÇÕES ELEMENTAIS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partir da fase 5, a conclusão do desafio combinou a validação do código com a vitória no combate. Depois da preparação, o motor conduziu o turno, a movimentação, a verificação de alcance e a aplicação de dano. A interface exibiu o efeito da escolha feita no código e permitiu revisar a preparação. A implementação distinguiu a aceitação estrutural do programa do resultado do confronto, que também dependeu da distribuição de atributos e da estratégia.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implementação definiu uma forma neutra para o mago e três especializações elementais: Piromante, associado ao fogo; Hidromante, associado à água; e Eletromante, associado à eletricidade. A representação do inimigo reuniu nome, vida e elemento, com adversários neutro, de gelo, de fogo e de água. A estratégia elemental adotou fogo contra gelo, água contra fogo e eletricidade contra água. O Boneco de Treinamento introduziu o confronto com um alvo neutro, enquanto o Golem de Gelo relacionou a especialização ao elemento do adversário.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representação da magia cumpriu uma função pedagógica no protótipo. A especialização ofereceu uma correspondência visual para a herança e para o comportamento associado à mesma chamada de método. Ao relacionar o código à preparação e à ação do mago, o desenvolvimento buscou tornar observável a ligação entre estado, estrutura e comportamento do objeto. A contribuição dessa experiência para a aprendizagem e o engajamento não foi medida com estudantes nessa etapa do trabalho.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/>
          <w:sz w:val="24"/>
          <w:szCs w:val="24"/>
        </w:rPr>
        <w:t xml:space="preserve">3.5 INTERAÇÃO, RETORNO VISUAL E ENGAJAMENTO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interação foi organizada como um ciclo de leitura da explicação, escrita de código, validação, observação do efeito na arena e revisão da solução. A interface reuniu a tarefa, o exemplo e a dica junto ao espaço de programação, de modo que o jogador relacionou a construção solicitada ao problema apresentado na fase. O avanço acrescentou conteúdo à mesma estrutura de personagem e manteve uma continuidade entre aprender um conceito e utilizar essa construção no jogo.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resposta visual vinculou o texto digitado à representação do mago. Na etapa inicial, a validação da declaração permitiu a prévia do personagem; a definição da instância e dos atributos estabeleceu o estado utilizado no combate. Ao longo do percurso, a apresentação associou a chamada de magia à animação de ataque e ao deslocamento do projétil até o inimigo. A escrita não acionou uma animação para cada caractere: o sistema verificou a construção reconhecida e apresentou o efeito correspondente à etapa ou ao evento de combate.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sincronização do lançamento aproximou a pose de ataque do momento de saída da magia. A apresentação utilizou o centro visual do personagem como origem do projétil e o centro visual do alvo como destino, enquanto o motor de combate manteve a responsabilidade pelo cálculo de dano e pelo resultado do turno. Essa divisão permitiu mostrar o efeito da ação sem transferir a regra de combate para a animação.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proposta de engajamento combinou a progressão por desafios, a transformação visual do mago e a possibilidade de comparar uma alteração no código com seu efeito no confronto. A vitória apresentou a conquista da etapa e a revisão do conceito abordado; a derrota manteve a possibilidade de corrigir o programa e tentar novamente. O desenvolvimento tratou esse ciclo como recurso de projeto para sustentar o interesse, sem afirmar aumento de engajamento ou de aprendizagem já demonstrado com estudantes.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balanceamento da fase 9 introduziu uma consequência para a estratégia e para a submissão inválida. O confronto diferenciou o inimigo forte e lento, o adversário com alcance maior e o inimigo de aproximação mais rápida. A regra aplicou vantagem ao elemento adequado e tornou ineficaz a escolha elemental incorreta contra o alvo elemental. A submissão de código inválido pelo botão Batalhar retirou 20% da vida máxima da tentativa, com arredondamento para cima e mínimo de um ponto, mantendo o diagnóstico e o texto escrito. Essa penalidade ocorreu na submissão, sem punir a digitação ou a navegação entre blocos, e permitiu que a tentativa terminasse em derrota.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/>
          <w:sz w:val="24"/>
          <w:szCs w:val="24"/>
        </w:rPr>
        <w:t xml:space="preserve">3.6 ORGANIZAÇÃO DA ESCRITA E VALIDAÇÃO DO CÓDIGO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espaço de escrita adotou três blocos: Mago, Inimigo e Estratégia. A área Ajustes manteve a alteração de atributos separada da definição das classes, e o bloco Atacar reuniu a ação de batalha. A interface liberou cada bloco conforme o conteúdo da etapa e destacou a seleção ativa. A troca de bloco armazenou o texto anterior antes de exibir o próximo, preservando a edição e evitando a substituição acidental da solução durante a navegação ou a submissão.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classe CodeBlockDocument, na camada de aplicação, centralizou o armazenamento do conteúdo dos três blocos e a identificação do bloco ativo. O método SetActiveText atribuiu o texto ao índice selecionado, como mostrou o Trecho de código 1. A composição do programa reuniu o conteúdo necessário à fase, e a rotina de salvamento preservou o código e o progresso para retomada posterior.</w:t>
      </w:r>
    </w:p>
    <w:p>
      <w:pPr>
        <w:pStyle w:val="PGCaption"/>
        <w:keepNext/>
        <w:widowControl/>
        <w:spacing w:before="0" w:after="0" w:line="240" w:lineRule="auto"/>
        <w:ind w:left="0" w:right="0" w:firstLine="0"/>
        <w:jc w:val="center"/>
      </w:pPr>
      <w:r>
        <w:rPr>
          <w:rFonts w:ascii="Arial" w:hAnsi="Arial"/>
          <w:sz w:val="24"/>
          <w:szCs w:val="24"/>
        </w:rPr>
        <w:t xml:space="preserve">Trecho de código 1 - Armazenamento do texto no bloco ativo</w:t>
      </w:r>
    </w:p>
    <w:p>
      <w:pPr>
        <w:pStyle w:val="PGSource"/>
        <w:widowControl/>
        <w:spacing w:before="0" w:after="0" w:line="240" w:lineRule="auto"/>
        <w:ind w:left="0" w:right="0" w:firstLine="0"/>
        <w:jc w:val="left"/>
        <w:keepNext/>
        <w:keepLines/>
      </w:pPr>
      <w:r>
        <w:rPr>
          <w:rFonts w:ascii="Arial" w:hAnsi="Arial"/>
          <w:sz w:val="20"/>
          <w:szCs w:val="20"/>
        </w:rPr>
        <w:t xml:space="preserve">public void SetActiveText(string text)</w:t>
      </w:r>
      <w:r>
        <w:br/>
      </w:r>
      <w:r>
        <w:rPr>
          <w:rFonts w:ascii="Arial" w:hAnsi="Arial"/>
          <w:sz w:val="20"/>
          <w:szCs w:val="20"/>
        </w:rPr>
        <w:t xml:space="preserve">{</w:t>
      </w:r>
      <w:r>
        <w:br/>
      </w:r>
      <w:r>
        <w:rPr>
          <w:rFonts w:ascii="Arial" w:hAnsi="Arial"/>
          <w:sz w:val="20"/>
          <w:szCs w:val="20"/>
        </w:rPr>
        <w:t xml:space="preserve">    blocks[ActiveIndex] = text ?? string.Empty;</w:t>
      </w:r>
      <w:r>
        <w:br/>
      </w:r>
      <w:r>
        <w:rPr>
          <w:rFonts w:ascii="Arial" w:hAnsi="Arial"/>
          <w:sz w:val="20"/>
          <w:szCs w:val="20"/>
        </w:rPr>
        <w:t xml:space="preserve">}</w:t>
      </w:r>
    </w:p>
    <w:p>
      <w:pPr>
        <w:pStyle w:val="PGSource"/>
        <w:widowControl/>
        <w:spacing w:before="0" w:after="0" w:line="240" w:lineRule="auto"/>
        <w:ind w:left="0" w:right="0" w:firstLine="0"/>
        <w:jc w:val="center"/>
      </w:pPr>
      <w:r>
        <w:rPr>
          <w:rFonts w:ascii="Arial" w:hAnsi="Arial"/>
          <w:sz w:val="20"/>
          <w:szCs w:val="20"/>
        </w:rPr>
        <w:t xml:space="preserve">Fonte: código-fonte do PrograMago, CodeBlockDocument.cs (2026).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organização do código-fonte adotou as camadas Domain, Application, Language, Presentation e Unity. A camada Domain reuniu o estado do mago e do inimigo, a progressão pedagógica e o motor de combate. Application concentrou o caso de uso de submissão e a preparação do programa. Language reuniu o reconhecimento de símbolos e a validação das construções aceitas. Presentation conectou a submissão à resposta da interface, enquanto Unity realizou a integração com o editor de texto, a cena e a animação.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submissão utilizou o caso de uso SubmitCodeUseCase. Primeiro, o tokenizador transformou o texto em uma sequência de símbolos reconhecidos; depois, o validador confrontou essa sequência com o exercício e o critério da fase. O Trecho de código 2 apresentou essa sequência. O diagnóstico de falha retornou à interface para correção, enquanto o resultado aceito forneceu a representação validada do programa. O protótipo adotou esse mecanismo para interpretar um subconjunto didático de Java, sem incorporar uma máquina virtual ou executar livremente um programa Java completo.</w:t>
      </w:r>
    </w:p>
    <w:p>
      <w:pPr>
        <w:pStyle w:val="PGCaption"/>
        <w:keepNext/>
        <w:widowControl/>
        <w:spacing w:before="0" w:after="0" w:line="240" w:lineRule="auto"/>
        <w:ind w:left="0" w:right="0" w:firstLine="0"/>
        <w:jc w:val="center"/>
      </w:pPr>
      <w:r>
        <w:rPr>
          <w:rFonts w:ascii="Arial" w:hAnsi="Arial"/>
          <w:sz w:val="24"/>
          <w:szCs w:val="24"/>
        </w:rPr>
        <w:t xml:space="preserve">Trecho de código 2 - Tokenização e validação conforme o critério da fase</w:t>
      </w:r>
    </w:p>
    <w:p>
      <w:pPr>
        <w:pStyle w:val="PGSource"/>
        <w:widowControl/>
        <w:spacing w:before="0" w:after="0" w:line="240" w:lineRule="auto"/>
        <w:ind w:left="0" w:right="0" w:firstLine="0"/>
        <w:jc w:val="left"/>
        <w:keepNext/>
        <w:keepLines/>
      </w:pPr>
      <w:r>
        <w:rPr>
          <w:rFonts w:ascii="Arial" w:hAnsi="Arial"/>
          <w:sz w:val="20"/>
          <w:szCs w:val="20"/>
        </w:rPr>
        <w:t xml:space="preserve">TokenizationResult tokenization = tokenizer.Tokenize(source);</w:t>
      </w:r>
      <w:r>
        <w:br/>
      </w:r>
      <w:r>
        <w:rPr>
          <w:rFonts w:ascii="Arial" w:hAnsi="Arial"/>
          <w:sz w:val="20"/>
          <w:szCs w:val="20"/>
        </w:rPr>
        <w:t xml:space="preserve">if (!tokenization.IsSuccess)</w:t>
      </w:r>
      <w:r>
        <w:br/>
      </w:r>
      <w:r>
        <w:rPr>
          <w:rFonts w:ascii="Arial" w:hAnsi="Arial"/>
          <w:sz w:val="20"/>
          <w:szCs w:val="20"/>
        </w:rPr>
        <w:t xml:space="preserve">{</w:t>
      </w:r>
      <w:r>
        <w:br/>
      </w:r>
      <w:r>
        <w:rPr>
          <w:rFonts w:ascii="Arial" w:hAnsi="Arial"/>
          <w:sz w:val="20"/>
          <w:szCs w:val="20"/>
        </w:rPr>
        <w:t xml:space="preserve">    return ExerciseValidationResult.Failure(tokenization.Diagnostic);</w:t>
      </w:r>
      <w:r>
        <w:br/>
      </w:r>
      <w:r>
        <w:rPr>
          <w:rFonts w:ascii="Arial" w:hAnsi="Arial"/>
          <w:sz w:val="20"/>
          <w:szCs w:val="20"/>
        </w:rPr>
        <w:t xml:space="preserve">}</w:t>
      </w:r>
      <w:r>
        <w:br/>
      </w:r>
      <w:r>
        <w:rPr>
          <w:rFonts w:ascii="Arial" w:hAnsi="Arial"/>
          <w:sz w:val="20"/>
          <w:szCs w:val="20"/>
        </w:rPr>
        <w:t xml:space="preserve"/>
      </w:r>
      <w:r>
        <w:br/>
      </w:r>
      <w:r>
        <w:rPr>
          <w:rFonts w:ascii="Arial" w:hAnsi="Arial"/>
          <w:sz w:val="20"/>
          <w:szCs w:val="20"/>
        </w:rPr>
        <w:t xml:space="preserve">return validator.Validate(</w:t>
      </w:r>
      <w:r>
        <w:br/>
      </w:r>
      <w:r>
        <w:rPr>
          <w:rFonts w:ascii="Arial" w:hAnsi="Arial"/>
          <w:sz w:val="20"/>
          <w:szCs w:val="20"/>
        </w:rPr>
        <w:t xml:space="preserve">    tokenization.Tokens,</w:t>
      </w:r>
      <w:r>
        <w:br/>
      </w:r>
      <w:r>
        <w:rPr>
          <w:rFonts w:ascii="Arial" w:hAnsi="Arial"/>
          <w:sz w:val="20"/>
          <w:szCs w:val="20"/>
        </w:rPr>
        <w:t xml:space="preserve">    session.Exercise,</w:t>
      </w:r>
      <w:r>
        <w:br/>
      </w:r>
      <w:r>
        <w:rPr>
          <w:rFonts w:ascii="Arial" w:hAnsi="Arial"/>
          <w:sz w:val="20"/>
          <w:szCs w:val="20"/>
        </w:rPr>
        <w:t xml:space="preserve">    criterion);</w:t>
      </w:r>
    </w:p>
    <w:p>
      <w:pPr>
        <w:pStyle w:val="PGSource"/>
        <w:widowControl/>
        <w:spacing w:before="0" w:after="0" w:line="240" w:lineRule="auto"/>
        <w:ind w:left="0" w:right="0" w:firstLine="0"/>
        <w:jc w:val="center"/>
      </w:pPr>
      <w:r>
        <w:rPr>
          <w:rFonts w:ascii="Arial" w:hAnsi="Arial"/>
          <w:sz w:val="20"/>
          <w:szCs w:val="20"/>
        </w:rPr>
        <w:t xml:space="preserve">Fonte: código-fonte do PrograMago, SubmitCodeUseCase.cs (2026).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/>
          <w:sz w:val="24"/>
          <w:szCs w:val="24"/>
        </w:rPr>
        <w:t xml:space="preserve">3.7 ORGANIZAÇÃO DA CENA, DOS </w:t>
      </w:r>
      <w:r>
        <w:rPr>
          <w:rFonts w:ascii="Arial" w:hAnsi="Arial"/>
          <w:sz w:val="24"/>
          <w:szCs w:val="24"/>
          <w:i w:val="1"/>
        </w:rPr>
        <w:t xml:space="preserve">PREFABS</w:t>
      </w:r>
      <w:r>
        <w:rPr>
          <w:rFonts w:ascii="Arial" w:hAnsi="Arial"/>
          <w:sz w:val="24"/>
          <w:szCs w:val="24"/>
        </w:rPr>
        <w:t xml:space="preserve"> E DOS OBJETOS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cena MainScene concentrou a apresentação do protótipo. A organização separou o Canvas da interface, a câmera principal e a representação da arena. No Canvas, o painel CodeEditorPanel reuniu o campo CodeInput; a faixa de blocos reuniu a seleção de Mago, Inimigo e Estratégia; e o botão BattleButton iniciou a submissão. A cena também reuniu o painel de explicação, a apresentação de atributos e as sobreposições de vitória, derrota e reinício, além do EventSystem para encaminhamento da interação com a interface.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arena utilizou a referência ArenaFrame para delimitar a área visível e a organização ArenaCells para representar dezesseis casas. A integração converteu a posição lógica do motor de combate em uma posição visual nessa área. O ponto WizardSpawnPoint definiu a referência de criação do mago, e a rotina de posicionamento alinhou o personagem ao chão por meio de CombatFootAnchor. O código distinguiu esse alinhamento dos pés do centro visual empregado na saída da magia.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</w:t>
      </w:r>
      <w:r>
        <w:rPr>
          <w:rFonts w:ascii="Arial" w:hAnsi="Arial"/>
          <w:sz w:val="24"/>
          <w:szCs w:val="24"/>
          <w:i w:val="1"/>
        </w:rPr>
        <w:t xml:space="preserve">prefab</w:t>
      </w:r>
      <w:r>
        <w:rPr>
          <w:rFonts w:ascii="Arial" w:hAnsi="Arial"/>
          <w:sz w:val="24"/>
          <w:szCs w:val="24"/>
        </w:rPr>
        <w:t xml:space="preserve"> Mago.</w:t>
      </w:r>
      <w:r>
        <w:rPr>
          <w:rFonts w:ascii="Arial" w:hAnsi="Arial"/>
          <w:sz w:val="24"/>
          <w:szCs w:val="24"/>
          <w:i w:val="1"/>
        </w:rPr>
        <w:t xml:space="preserve">prefab</w:t>
      </w:r>
      <w:r>
        <w:rPr>
          <w:rFonts w:ascii="Arial" w:hAnsi="Arial"/>
          <w:sz w:val="24"/>
          <w:szCs w:val="24"/>
        </w:rPr>
        <w:t xml:space="preserve"> reuniu a estrutura reutilizável do personagem, com SpriteRenderer, Animator e o objeto filho CombatFootAnchor. A rotina RenderWizard criou a instância a partir desse recurso quando a representação do mago se tornou visível. O Trecho de código 3 mostrou a instanciação e a definição da posição e da rotação locais em relação ao ponto de criação. A apresentação selecionou o controlador de animação adequado à forma do mago, sem reconstruir a regra de atributos a cada troca elemental.</w:t>
      </w:r>
    </w:p>
    <w:p>
      <w:pPr>
        <w:pStyle w:val="PGCaption"/>
        <w:keepNext/>
        <w:widowControl/>
        <w:spacing w:before="0" w:after="0" w:line="240" w:lineRule="auto"/>
        <w:ind w:left="0" w:right="0" w:firstLine="0"/>
        <w:jc w:val="center"/>
      </w:pPr>
      <w:r>
        <w:rPr>
          <w:rFonts w:ascii="Arial" w:hAnsi="Arial"/>
          <w:sz w:val="24"/>
          <w:szCs w:val="24"/>
        </w:rPr>
        <w:t xml:space="preserve">Trecho de código 3 - Instanciação do mago no ponto de criação</w:t>
      </w:r>
    </w:p>
    <w:p>
      <w:pPr>
        <w:pStyle w:val="PGSource"/>
        <w:widowControl/>
        <w:spacing w:before="0" w:after="0" w:line="240" w:lineRule="auto"/>
        <w:ind w:left="0" w:right="0" w:firstLine="0"/>
        <w:jc w:val="left"/>
        <w:keepNext/>
        <w:keepLines/>
      </w:pPr>
      <w:r>
        <w:rPr>
          <w:rFonts w:ascii="Arial" w:hAnsi="Arial"/>
          <w:sz w:val="20"/>
          <w:szCs w:val="20"/>
        </w:rPr>
        <w:t xml:space="preserve">wizardInstance = Instantiate(wizardPrefab, wizardSpawnPoint);</w:t>
      </w:r>
      <w:r>
        <w:br/>
      </w:r>
      <w:r>
        <w:rPr>
          <w:rFonts w:ascii="Arial" w:hAnsi="Arial"/>
          <w:sz w:val="20"/>
          <w:szCs w:val="20"/>
        </w:rPr>
        <w:t xml:space="preserve">wizardInstance.name = wizardPrefab.name;</w:t>
      </w:r>
      <w:r>
        <w:br/>
      </w:r>
      <w:r>
        <w:rPr>
          <w:rFonts w:ascii="Arial" w:hAnsi="Arial"/>
          <w:sz w:val="20"/>
          <w:szCs w:val="20"/>
        </w:rPr>
        <w:t xml:space="preserve">wizardInstance.transform.SetLocalPositionAndRotation(Vector3.zero, Quaternion.identity);</w:t>
      </w:r>
    </w:p>
    <w:p>
      <w:pPr>
        <w:pStyle w:val="PGSource"/>
        <w:widowControl/>
        <w:spacing w:before="0" w:after="0" w:line="240" w:lineRule="auto"/>
        <w:ind w:left="0" w:right="0" w:firstLine="0"/>
        <w:jc w:val="center"/>
      </w:pPr>
      <w:r>
        <w:rPr>
          <w:rFonts w:ascii="Arial" w:hAnsi="Arial"/>
          <w:sz w:val="20"/>
          <w:szCs w:val="20"/>
        </w:rPr>
        <w:t xml:space="preserve">Fonte: código-fonte do PrograMago, GameplayBootstrapper.cs (2026).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organização das magias adotou quatro </w:t>
      </w:r>
      <w:r>
        <w:rPr>
          <w:rFonts w:ascii="Arial" w:hAnsi="Arial"/>
          <w:sz w:val="24"/>
          <w:szCs w:val="24"/>
          <w:i w:val="1"/>
        </w:rPr>
        <w:t xml:space="preserve">prefabs</w:t>
      </w:r>
      <w:r>
        <w:rPr>
          <w:rFonts w:ascii="Arial" w:hAnsi="Arial"/>
          <w:sz w:val="24"/>
          <w:szCs w:val="24"/>
        </w:rPr>
        <w:t xml:space="preserve"> na pasta Resources/Combat: NeutralProjectile, FireProjectile, WaterProjectile e ElectricProjectile. Cada recurso reuniu a representação visual e o componente CombatProjectileView, responsável pelo deslocamento e pela apresentação do impacto. A seleção do elemento determinou o recurso carregado. Após o evento do motor, a apresentação instanciou o projétil, definiu a origem e o destino e removeu sua representação ao terminar o efeito.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A representação do inimigo seguiu uma organização diferente da do mago: a rotina RenderEnemies criou o objeto durante a execução, acrescentou SpriteRenderer e, quando disponível, Animator, e consultou o catálogo visual para obter a imagem e o controlador correspondentes ao nome do adversário. O catálogo reuniu Boneco de Treinamento, Golem de Gelo, Elemental de Fogo e Slime Aquático. A implementação removeu a representação do inimigo derrotado após a conclusão do impacto pendente e restaurou a visibilidade ao iniciar uma nova tentativa.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Essa separação permitiu relacionar a declaração escrita pelo jogador ao objeto representado na arena, sem confundir a classe didática Mago com o objeto de apresentação da Unity. O estado validado forneceu os dados do personagem, enquanto o </w:t>
      </w:r>
      <w:r>
        <w:rPr>
          <w:rFonts w:ascii="Arial" w:hAnsi="Arial"/>
          <w:sz w:val="24"/>
          <w:szCs w:val="24"/>
          <w:i w:val="1"/>
        </w:rPr>
        <w:t xml:space="preserve">prefab</w:t>
      </w:r>
      <w:r>
        <w:rPr>
          <w:rFonts w:ascii="Arial" w:hAnsi="Arial"/>
          <w:sz w:val="24"/>
          <w:szCs w:val="24"/>
        </w:rPr>
        <w:t xml:space="preserve"> reuniu o componente visual reutilizável. A criação do inimigo e do projétil seguiu o mesmo princípio de separar o dado do domínio da sua apresentação na cena.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/>
          <w:sz w:val="24"/>
          <w:szCs w:val="24"/>
        </w:rPr>
        <w:t xml:space="preserve">3.8 REPRESENTAÇÃO DA ESTRATÉGIA POLIMÓRFICA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Trecho de código 4 apresentou um exemplo do bloco Estratégia da fase 9, extraído da documentação de uso do protótipo. A referência ativo recebeu o tipo Mago e representou uma instância concreta conforme a consulta ao elemento do alvo. O ramo condicional definiu a especialização, e a chamada final permaneceu única. O exemplo utilizou uma distribuição de 25 pontos, com os mesmos valores na instância base e na especialização.</w:t>
      </w:r>
    </w:p>
    <w:p>
      <w:pPr>
        <w:pStyle w:val="PGCaption"/>
        <w:keepNext/>
        <w:widowControl/>
        <w:spacing w:before="0" w:after="0" w:line="240" w:lineRule="auto"/>
        <w:ind w:left="0" w:right="0" w:firstLine="0"/>
        <w:jc w:val="center"/>
      </w:pPr>
      <w:r>
        <w:rPr>
          <w:rFonts w:ascii="Arial" w:hAnsi="Arial"/>
          <w:sz w:val="24"/>
          <w:szCs w:val="24"/>
        </w:rPr>
        <w:t xml:space="preserve">Trecho de código 4 - Seleção elemental por uma referência do tipo Mago</w:t>
      </w:r>
    </w:p>
    <w:p>
      <w:pPr>
        <w:pStyle w:val="PGSource"/>
        <w:widowControl/>
        <w:spacing w:before="0" w:after="0" w:line="240" w:lineRule="auto"/>
        <w:ind w:left="0" w:right="0" w:firstLine="0"/>
        <w:jc w:val="left"/>
        <w:keepNext/>
        <w:keepLines/>
      </w:pPr>
      <w:r>
        <w:rPr>
          <w:rFonts w:ascii="Arial" w:hAnsi="Arial"/>
          <w:sz w:val="20"/>
          <w:szCs w:val="20"/>
        </w:rPr>
        <w:t xml:space="preserve">Mago ativo = mago;</w:t>
      </w:r>
      <w:r>
        <w:br/>
      </w:r>
      <w:r>
        <w:rPr>
          <w:rFonts w:ascii="Arial" w:hAnsi="Arial"/>
          <w:sz w:val="20"/>
          <w:szCs w:val="20"/>
        </w:rPr>
        <w:t xml:space="preserve">if (alvo.getElemento().equals("gelo")) {</w:t>
      </w:r>
      <w:r>
        <w:br/>
      </w:r>
      <w:r>
        <w:rPr>
          <w:rFonts w:ascii="Arial" w:hAnsi="Arial"/>
          <w:sz w:val="20"/>
          <w:szCs w:val="20"/>
        </w:rPr>
        <w:t xml:space="preserve">    ativo = new Piromante(10, 4, 9, 1, 1);</w:t>
      </w:r>
      <w:r>
        <w:br/>
      </w:r>
      <w:r>
        <w:rPr>
          <w:rFonts w:ascii="Arial" w:hAnsi="Arial"/>
          <w:sz w:val="20"/>
          <w:szCs w:val="20"/>
        </w:rPr>
        <w:t xml:space="preserve">} else if (alvo.getElemento().equals("fogo")) {</w:t>
      </w:r>
      <w:r>
        <w:br/>
      </w:r>
      <w:r>
        <w:rPr>
          <w:rFonts w:ascii="Arial" w:hAnsi="Arial"/>
          <w:sz w:val="20"/>
          <w:szCs w:val="20"/>
        </w:rPr>
        <w:t xml:space="preserve">    ativo = new Hidromante(10, 4, 9, 1, 1);</w:t>
      </w:r>
      <w:r>
        <w:br/>
      </w:r>
      <w:r>
        <w:rPr>
          <w:rFonts w:ascii="Arial" w:hAnsi="Arial"/>
          <w:sz w:val="20"/>
          <w:szCs w:val="20"/>
        </w:rPr>
        <w:t xml:space="preserve">} else if (alvo.getElemento().equals("água")) {</w:t>
      </w:r>
      <w:r>
        <w:br/>
      </w:r>
      <w:r>
        <w:rPr>
          <w:rFonts w:ascii="Arial" w:hAnsi="Arial"/>
          <w:sz w:val="20"/>
          <w:szCs w:val="20"/>
        </w:rPr>
        <w:t xml:space="preserve">    ativo = new Eletromante(10, 4, 9, 1, 1);</w:t>
      </w:r>
      <w:r>
        <w:br/>
      </w:r>
      <w:r>
        <w:rPr>
          <w:rFonts w:ascii="Arial" w:hAnsi="Arial"/>
          <w:sz w:val="20"/>
          <w:szCs w:val="20"/>
        </w:rPr>
        <w:t xml:space="preserve">} else {</w:t>
      </w:r>
      <w:r>
        <w:br/>
      </w:r>
      <w:r>
        <w:rPr>
          <w:rFonts w:ascii="Arial" w:hAnsi="Arial"/>
          <w:sz w:val="20"/>
          <w:szCs w:val="20"/>
        </w:rPr>
        <w:t xml:space="preserve">    ativo = mago;</w:t>
      </w:r>
      <w:r>
        <w:br/>
      </w:r>
      <w:r>
        <w:rPr>
          <w:rFonts w:ascii="Arial" w:hAnsi="Arial"/>
          <w:sz w:val="20"/>
          <w:szCs w:val="20"/>
        </w:rPr>
        <w:t xml:space="preserve">}</w:t>
      </w:r>
      <w:r>
        <w:br/>
      </w:r>
      <w:r>
        <w:rPr>
          <w:rFonts w:ascii="Arial" w:hAnsi="Arial"/>
          <w:sz w:val="20"/>
          <w:szCs w:val="20"/>
        </w:rPr>
        <w:t xml:space="preserve">ativo.lancarMagia(alvo);</w:t>
      </w:r>
    </w:p>
    <w:p>
      <w:pPr>
        <w:pStyle w:val="PGSource"/>
        <w:widowControl/>
        <w:spacing w:before="0" w:after="0" w:line="240" w:lineRule="auto"/>
        <w:ind w:left="0" w:right="0" w:firstLine="0"/>
        <w:jc w:val="center"/>
      </w:pPr>
      <w:r>
        <w:rPr>
          <w:rFonts w:ascii="Arial" w:hAnsi="Arial"/>
          <w:sz w:val="20"/>
          <w:szCs w:val="20"/>
        </w:rPr>
        <w:t xml:space="preserve">Fonte: código-fonte do PrograMago, tcc-12-exemplos-por-fase.md (2026).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Na integração com a arena, o motor forneceu o alvo do turno e aplicou a estratégia reconhecida pelo programa. A mudança de forma alterou a apresentação e o elemento da magia, preservando o estado acumulado de vida e posição. O exemplo relacionou a referência da classe base, a especialização escolhida e a chamada do método ao comportamento observado durante o combate, explicitando o papel do polimorfismo na atividade.</w:t>
      </w:r>
    </w:p>
    <w:p>
      <w:pPr>
        <w:pStyle w:val="PGHeading1"/>
        <w:keepNext/>
        <w:widowControl/>
        <w:spacing w:before="240" w:after="240" w:line="240" w:lineRule="auto"/>
        <w:ind w:left="0" w:right="0" w:firstLine="0"/>
        <w:jc w:val="left"/>
        <w:outlineLvl w:val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>4 AVALIAÇÃO COM ESTUDANTES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da avaliação do PrograMago adotou a utilização de uma versão executável do jogo seguida do preenchimento de um formulário. A aplicação com estudantes não ocorreu nesta etapa; a seção registrou o delineamento elaborado para essa avaliação.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 w:eastAsia="Arial" w:cs="Arial"/>
          <w:sz w:val="24"/>
          <w:szCs w:val="24"/>
          <w:b w:val="0"/>
          <w:bCs w:val="0"/>
        </w:rPr>
        <w:t>4.1 PERFIL DOS PARTICIPANTES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delimitou o público a estudantes de Engenharia de </w:t>
      </w:r>
      <w:r>
        <w:rPr>
          <w:rFonts w:ascii="Arial" w:hAnsi="Arial"/>
          <w:sz w:val="24"/>
          <w:szCs w:val="24"/>
          <w:i w:val="1"/>
        </w:rPr>
        <w:t xml:space="preserve">Software</w:t>
      </w:r>
      <w:r>
        <w:rPr>
          <w:rFonts w:ascii="Arial" w:hAnsi="Arial"/>
          <w:sz w:val="24"/>
          <w:szCs w:val="24"/>
        </w:rPr>
        <w:t xml:space="preserve"> de uma turma de pequeno porte. A quantidade de convidados e de respondentes permaneceu sem definição. A proposta estabeleceu participação voluntária e previu a caracterização do grupo durante a elaboração final do formulário, sem apresentar um perfil efetivamente coletado.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 w:eastAsia="Arial" w:cs="Arial"/>
          <w:sz w:val="24"/>
          <w:szCs w:val="24"/>
          <w:b w:val="0"/>
          <w:bCs w:val="0"/>
        </w:rPr>
        <w:t>4.2 INSTRUMENTOS DE COLETA DE DADOS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selecionou um formulário no Google Forms como instrumento de coleta após o uso do protótipo. A definição do conteúdo contemplou a opinião do estudante sobre a experiência de uso, a clareza do conteúdo de POO, a facilidade de interação, o interesse em continuar programando e a dificuldade encontrada. A elaboração final das perguntas permaneceu pendente.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incluiu uma revisão do formulário antes da aplicação para verificar a clareza e a coerência com a experiência oferecida pelo jogo. A proposta de tratamento das respostas adotou uma planilha para apoiar a análise descritiva.</w:t>
      </w:r>
    </w:p>
    <w:p>
      <w:pPr>
        <w:pStyle w:val="PGHeading2"/>
        <w:keepNext/>
        <w:widowControl/>
        <w:spacing w:before="240" w:after="240" w:line="240" w:lineRule="auto"/>
        <w:ind w:left="0" w:right="0" w:firstLine="0"/>
        <w:jc w:val="left"/>
        <w:outlineLvl w:val="1"/>
      </w:pPr>
      <w:r>
        <w:rPr>
          <w:rFonts w:ascii="Arial" w:hAnsi="Arial" w:eastAsia="Arial" w:cs="Arial"/>
          <w:sz w:val="24"/>
          <w:szCs w:val="24"/>
          <w:b w:val="0"/>
          <w:bCs w:val="0"/>
        </w:rPr>
        <w:t>4.3 PROCEDIMENTO DE APLICAÇÃO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procedimento planejado previu a geração de uma </w:t>
      </w:r>
      <w:r>
        <w:rPr>
          <w:rFonts w:ascii="Arial" w:hAnsi="Arial"/>
          <w:sz w:val="24"/>
          <w:szCs w:val="24"/>
          <w:i w:val="1"/>
        </w:rPr>
        <w:t xml:space="preserve">build</w:t>
      </w:r>
      <w:r>
        <w:rPr>
          <w:rFonts w:ascii="Arial" w:hAnsi="Arial"/>
          <w:sz w:val="24"/>
          <w:szCs w:val="24"/>
        </w:rPr>
        <w:t xml:space="preserve"> do protótipo, sua distribuição ao estudante com orientações de execução e uso e a disponibilização do </w:t>
      </w:r>
      <w:r>
        <w:rPr>
          <w:rFonts w:ascii="Arial" w:hAnsi="Arial"/>
          <w:sz w:val="24"/>
          <w:szCs w:val="24"/>
          <w:i w:val="1"/>
        </w:rPr>
        <w:t xml:space="preserve">link</w:t>
      </w:r>
      <w:r>
        <w:rPr>
          <w:rFonts w:ascii="Arial" w:hAnsi="Arial"/>
          <w:sz w:val="24"/>
          <w:szCs w:val="24"/>
        </w:rPr>
        <w:t xml:space="preserve"> do formulário no Google Forms. A proposta condicionou a participação à informação sobre a pesquisa e ao consentimento, com utilização do PrograMago seguida do registro da avaliação da experiência.</w:t>
      </w:r>
    </w:p>
    <w:p>
      <w:pPr>
        <w:pStyle w:val="PGBody"/>
        <w:widowControl/>
        <w:spacing w:before="0" w:after="0" w:line="360" w:lineRule="auto"/>
        <w:ind w:left="0" w:right="0" w:firstLine="1134"/>
        <w:jc w:val="both"/>
      </w:pPr>
      <w:r>
        <w:rPr>
          <w:rFonts w:ascii="Arial" w:hAnsi="Arial"/>
          <w:sz w:val="24"/>
          <w:szCs w:val="24"/>
        </w:rPr>
        <w:t xml:space="preserve">O planejamento incluiu a definição das orientações e dos detalhes operacionais antes da aplicação. O delineamento não adotou pré-teste ou pós-teste e concentrou a coleta proposta nas percepções após o contato com o protótipo. A etapa de aplicação e análise de respostas com estudantes ainda não ocorreu.</w:t>
      </w:r>
    </w:p>
    <w:p>
      <w:pPr>
        <w:pStyle w:val="PGHeading1"/>
        <w:keepNext/>
        <w:widowControl/>
        <w:spacing w:before="240" w:after="240" w:line="240" w:lineRule="auto"/>
        <w:ind w:left="0" w:right="0" w:firstLine="0"/>
        <w:jc w:val="left"/>
        <w:outlineLvl w:val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>5 ANÁLISE E DISCUSSÃO DOS RESULTADOS</w:t>
      </w:r>
    </w:p>
    <w:p>
      <w:pPr>
        <w:pStyle w:val="PGHeading1"/>
        <w:keepNext/>
        <w:widowControl/>
        <w:spacing w:before="240" w:after="240" w:line="240" w:lineRule="auto"/>
        <w:ind w:left="0" w:right="0" w:firstLine="0"/>
        <w:jc w:val="left"/>
        <w:outlineLvl w:val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>6 CONSIDERAÇÕES FINAIS</w:t>
      </w:r>
    </w:p>
    <w:p>
      <w:pPr>
        <w:pStyle w:val="PGReferencesTitle"/>
        <w:keepNext/>
        <w:widowControl/>
        <w:spacing w:before="240" w:after="240" w:line="240" w:lineRule="auto"/>
        <w:ind w:left="0" w:right="0" w:firstLine="0"/>
        <w:jc w:val="center"/>
      </w:pPr>
      <w:bookmarkStart w:name="REFERÊNCIAS" w:id="15"/>
      <w:bookmarkEnd w:id="15"/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REFERÊNCIAS</w:t>
      </w:r>
    </w:p>
    <w:p>
      <w:pPr>
        <w:pStyle w:val="PGReferences"/>
        <w:widowControl/>
        <w:spacing w:before="0" w:after="240" w:line="240" w:lineRule="auto"/>
        <w:ind w:left="0" w:right="0" w:firstLine="0"/>
        <w:jc w:val="left"/>
      </w:pP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ABBASI, Suhni; KAZI, Hameedullah; KAZI, Ahmed Waliullah; KHOWAJA, Kamran; BALOCH, Ahsanullah.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  <w:i w:val="1"/>
          <w:iCs w:val="1"/>
        </w:rPr>
        <w:t xml:space="preserve">Gauge object oriented programming in student’s learning performance, normalized learning gains and perceived motivation with serious games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Information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Basel,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v. 12,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n.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3, art.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101, 2021.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DOI: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10.3390/info12030101. Disponível em: </w:t>
      </w:r>
      <w:hyperlink r:id="rId7">
        <w:r>
          <w:rPr>
            <w:rFonts w:ascii="Arial" w:hAnsi="Arial" w:eastAsia="Arial" w:cs="Arial"/>
            <w:sz w:val="24"/>
            <w:szCs w:val="24"/>
            <w:b w:val="0"/>
            <w:bCs w:val="0"/>
          </w:rPr>
          <w:t>https://doi.org/10.3390/info12030101</w:t>
        </w:r>
      </w:hyperlink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. Acesso em: 13 set. 2026.</w:t>
      </w:r>
    </w:p>
    <w:p>
      <w:pPr>
        <w:pStyle w:val="PGReferences"/>
        <w:widowControl/>
        <w:spacing w:before="0" w:after="240" w:line="240" w:lineRule="auto"/>
        <w:ind w:left="0" w:right="0" w:firstLine="0"/>
        <w:jc w:val="left"/>
      </w:pP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ARAÚJO, Ana Lívia dos Santos; OLIVEIRA, João Gabriel de Araújo; SOUZA, Ilane Alícia Fernandes de; AZEVEDO, Giovanna Silva de; BATISTA, Cybelly Francisca Silva; PEREIRA, Rafael Peixoto de Moraes. Aprendizagem e retenção em programação: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um estudo no ensino médio técnico do Instituto Federal de Educação, Ciência e Tecnologia do Rio Grande do Norte, campus Parelhas, Brasil.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Revista Principia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João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Pessoa,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v.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62,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e8545,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2025.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DOI: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10.18265/2447-9187a2024id8545. Disponível em: </w:t>
      </w:r>
      <w:hyperlink r:id="rId8">
        <w:r>
          <w:rPr>
            <w:rFonts w:ascii="Arial" w:hAnsi="Arial" w:eastAsia="Arial" w:cs="Arial"/>
            <w:sz w:val="24"/>
            <w:szCs w:val="24"/>
            <w:b w:val="0"/>
            <w:bCs w:val="0"/>
          </w:rPr>
          <w:t>https://doi.org/10.18265/2447-9187a2024id8545</w:t>
        </w:r>
      </w:hyperlink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. Acesso em: 13 set.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2026.</w:t>
      </w:r>
    </w:p>
    <w:p>
      <w:pPr>
        <w:pStyle w:val="PGReferences"/>
        <w:widowControl/>
        <w:spacing w:before="0" w:after="240" w:line="240" w:lineRule="auto"/>
        <w:ind w:left="0" w:right="0" w:firstLine="0"/>
        <w:jc w:val="left"/>
      </w:pP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DÍAZ-LEYVA, Teodoro; CHAMORRO-ATALAYA, Omar.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  <w:i w:val="1"/>
          <w:iCs w:val="1"/>
        </w:rPr>
        <w:t xml:space="preserve">Analysis of learning difficulties in object oriented programming in systems engineering students at UNTELS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Advances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in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Science,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Technology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and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Engineering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Systems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Journal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 v. 5, n. 6, p. 1704-1709, 2020. DOI: 10.25046/aj0506203. Disponível em: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 https://doi.org/10.25046/aj0506203. Acesso em: 13 set. 2026.</w:t>
      </w:r>
    </w:p>
    <w:p>
      <w:pPr>
        <w:pStyle w:val="PGReferences"/>
        <w:widowControl/>
        <w:spacing w:before="0" w:after="240" w:line="240" w:lineRule="auto"/>
        <w:ind w:left="0" w:right="0" w:firstLine="0"/>
        <w:jc w:val="left"/>
      </w:pP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FIGUEIREDO, Karen da Silva; RIBEIRO, Jivago Medeiros; SOUZA, Raphael; ANGELO, Vinicius Raniero. Uma abordagem gamificada para o ensino de programação orientada a objetos. In: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  <w:i w:val="1"/>
          <w:iCs w:val="1"/>
        </w:rPr>
        <w:t xml:space="preserve">WORKSHOP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 SOBRE EDUCAÇÃO EM COMPUTAÇÃO,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23.,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2015,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Recife.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Anais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[...]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Porto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Alegre: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Sociedade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Brasileira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de Computação, 2015. p. 316-325. DOI: 10.5753/wei.2015.10248. Disponível em: </w:t>
      </w:r>
      <w:hyperlink r:id="rId10">
        <w:r>
          <w:rPr>
            <w:rFonts w:ascii="Arial" w:hAnsi="Arial" w:eastAsia="Arial" w:cs="Arial"/>
            <w:sz w:val="24"/>
            <w:szCs w:val="24"/>
            <w:b w:val="0"/>
            <w:bCs w:val="0"/>
          </w:rPr>
          <w:t>https://doi.org/10.5753/wei.2015.10248</w:t>
        </w:r>
      </w:hyperlink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. Acesso em: 13 set. 2026.</w:t>
      </w:r>
    </w:p>
    <w:p>
      <w:pPr>
        <w:pStyle w:val="PGReferences"/>
        <w:widowControl/>
        <w:spacing w:before="0" w:after="240" w:line="240" w:lineRule="auto"/>
        <w:ind w:left="0" w:right="0" w:firstLine="0"/>
        <w:jc w:val="left"/>
      </w:pP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GERHARDT,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Tatiana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Engel;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SILVEIRA,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Denise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Tolfo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(org.).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Métodos de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pesquisa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. Porto Alegre: Editora da Universidade Federal do Rio Grande do Sul, 2009. 120 p. (Série Educação a Distância). Disponível em: </w:t>
      </w:r>
      <w:hyperlink r:id="rId11">
        <w:r>
          <w:rPr>
            <w:rFonts w:ascii="Arial" w:hAnsi="Arial" w:eastAsia="Arial" w:cs="Arial"/>
            <w:sz w:val="24"/>
            <w:szCs w:val="24"/>
            <w:b w:val="0"/>
            <w:bCs w:val="0"/>
          </w:rPr>
          <w:t>https://www.lume.ufrgs.br/bitstream/handle/10183/213804/000728734.pdf</w:t>
        </w:r>
      </w:hyperlink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. Acesso em: 21 set. 2026.</w:t>
      </w:r>
    </w:p>
    <w:p>
      <w:pPr>
        <w:pStyle w:val="PGReferences"/>
        <w:widowControl/>
        <w:spacing w:before="0" w:after="240" w:line="240" w:lineRule="auto"/>
        <w:ind w:left="0" w:right="0" w:firstLine="0"/>
        <w:jc w:val="left"/>
      </w:pP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HENRIQUE,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Mychelline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Souto;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REBOUÇAS,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Ayla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Débora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Dantas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Souza.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Objetos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de aprendizagem para auxiliar o ensino de conceitos do paradigma de programação orientada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a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objetos.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Revista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Novas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Tecnologias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na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1"/>
          <w:bCs w:val="1"/>
        </w:rPr>
        <w:t>Educação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Porto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Alegre,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v.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 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>13,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 n. 2, 2015. DOI: 10.22456/1679-1916.61433. Disponível em:</w:t>
      </w:r>
      <w:r>
        <w:rPr>
          <w:color w:val="000000"/>
          <w:rFonts w:ascii="Arial" w:hAnsi="Arial" w:eastAsia="Arial" w:cs="Arial"/>
          <w:sz w:val="24"/>
          <w:szCs w:val="24"/>
          <w:b w:val="0"/>
          <w:bCs w:val="0"/>
        </w:rPr>
        <w:t xml:space="preserve"> https://doi.org/10.22456/1679-1916.61433. Acesso em: 13 set. 2026.</w:t>
      </w:r>
    </w:p>
    <w:p>
      <w:pPr>
        <w:pStyle w:val="PGReferences"/>
        <w:widowControl/>
        <w:spacing w:before="0" w:after="240" w:line="240" w:lineRule="auto"/>
        <w:ind w:left="0" w:right="0" w:firstLine="0"/>
        <w:jc w:val="left"/>
      </w:pPr>
      <w:r>
        <w:rPr>
          <w:rFonts w:ascii="Arial" w:hAnsi="Arial" w:eastAsia="Arial" w:cs="Arial"/>
          <w:sz w:val="24"/>
          <w:szCs w:val="24"/>
          <w:b w:val="0"/>
          <w:bCs w:val="0"/>
        </w:rPr>
        <w:t xml:space="preserve">HERZOG, Timon. </w:t>
      </w:r>
      <w:r>
        <w:rPr>
          <w:rFonts w:ascii="Arial" w:hAnsi="Arial" w:eastAsia="Arial" w:cs="Arial"/>
          <w:sz w:val="24"/>
          <w:szCs w:val="24"/>
          <w:b w:val="1"/>
          <w:bCs w:val="1"/>
          <w:i w:val="1"/>
          <w:iCs w:val="1"/>
        </w:rPr>
        <w:t xml:space="preserve">The Farmer Was Replaced</w:t>
      </w:r>
      <w:r>
        <w:rPr>
          <w:rFonts w:ascii="Arial" w:hAnsi="Arial" w:eastAsia="Arial" w:cs="Arial"/>
          <w:sz w:val="24"/>
          <w:szCs w:val="24"/>
          <w:b w:val="0"/>
          <w:bCs w:val="0"/>
        </w:rPr>
        <w:t>. Steam, 2025. Disponível em: https://store.steampowered.com/app/2060160/The_Farmer_Was_Replaced/. Acesso em: 4 out. 2026.</w:t>
      </w:r>
    </w:p>
    <w:p>
      <w:pPr>
        <w:pStyle w:val="PGReferences"/>
        <w:widowControl/>
        <w:spacing w:before="0" w:after="240" w:line="240" w:lineRule="auto"/>
        <w:ind w:left="0" w:right="0" w:firstLine="0"/>
        <w:jc w:val="left"/>
      </w:pPr>
      <w:r>
        <w:rPr>
          <w:rFonts w:ascii="Arial" w:hAnsi="Arial" w:eastAsia="Arial" w:cs="Arial"/>
          <w:sz w:val="24"/>
          <w:szCs w:val="24"/>
          <w:b w:val="0"/>
          <w:bCs w:val="0"/>
        </w:rPr>
        <w:t xml:space="preserve">RED NEXUS GAMES. </w:t>
      </w:r>
      <w:r>
        <w:rPr>
          <w:rFonts w:ascii="Arial" w:hAnsi="Arial" w:eastAsia="Arial" w:cs="Arial"/>
          <w:sz w:val="24"/>
          <w:szCs w:val="24"/>
          <w:b w:val="1"/>
          <w:bCs w:val="1"/>
        </w:rPr>
        <w:t>Peglin</w:t>
      </w:r>
      <w:r>
        <w:rPr>
          <w:rFonts w:ascii="Arial" w:hAnsi="Arial" w:eastAsia="Arial" w:cs="Arial"/>
          <w:sz w:val="24"/>
          <w:szCs w:val="24"/>
          <w:b w:val="0"/>
          <w:bCs w:val="0"/>
        </w:rPr>
        <w:t>. Steam, 2024. Disponível em: https://store.steampowered.com/app/1296610/Peglin/. Acesso em: 4 out. 2026.</w:t>
      </w:r>
    </w:p>
    <w:sectPr>
      <w:headerReference w:type="default" r:id="rId5"/>
      <w:pgSz w:w="11906" w:h="16838"/>
      <w:pgMar w:top="1701" w:right="1134" w:bottom="1134" w:left="1701" w:header="567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31B2" w14:textId="77777777" w:rsidR="00184136" w:rsidRDefault="008D1525">
    <w:pPr>
      <w:pStyle w:val="PGHeader"/>
      <w:widowControl/>
      <w:spacing w:before="0" w:after="0" w:line="240" w:lineRule="auto"/>
      <w:ind w:left="0" w:right="0" w:firstLine="0"/>
      <w:jc w:val="right"/>
    </w:pPr>
    <w:sdt>
      <w:sdtPr>
        <w:id w:val="-1342703437"/>
        <w:docPartObj>
          <w:docPartGallery w:val="Page Numbers (Top of Page)"/>
          <w:docPartUnique/>
        </w:docPartObj>
      </w:sdtPr>
      <w:sdtEndPr/>
      <w:sdtContent>
        <w:r w:rsidR="00184136">
          <w:rPr>
            <w:rFonts w:ascii="Arial" w:hAnsi="Arial"/>
            <w:sz w:val="20"/>
          </w:rPr>
          <w:fldChar w:fldCharType="begin"/>
        </w:r>
        <w:r w:rsidR="00184136">
          <w:rPr>
            <w:rFonts w:ascii="Arial" w:hAnsi="Arial"/>
            <w:sz w:val="20"/>
          </w:rPr>
          <w:instrText>PAGE   \* MERGEFORMAT</w:instrText>
        </w:r>
        <w:r w:rsidR="00184136">
          <w:rPr>
            <w:rFonts w:ascii="Arial" w:hAnsi="Arial"/>
            <w:sz w:val="20"/>
          </w:rPr>
          <w:fldChar w:fldCharType="separate"/>
        </w:r>
        <w:r w:rsidR="00184136">
          <w:rPr>
            <w:rFonts w:ascii="Arial" w:hAnsi="Arial"/>
            <w:sz w:val="20"/>
          </w:rPr>
          <w:t>2</w:t>
        </w:r>
        <w:r w:rsidR="00184136">
          <w:rPr>
            <w:rFonts w:ascii="Arial" w:hAnsi="Arial"/>
            <w:sz w:val="20"/>
          </w:rPr>
          <w:fldChar w:fldCharType="end"/>
        </w:r>
      </w:sdtContent>
    </w:sdt>
  </w:p>
  <w:p w14:paraId="6A6F1D8D" w14:textId="7AA3BEDE" w:rsidR="002F005F" w:rsidRDefault="009F7B39">
    <w:pPr>
      <w:pStyle w:val="PGHeader"/>
      <w:widowControl/>
      <w:spacing w:before="0" w:after="0" w:line="240" w:lineRule="auto"/>
      <w:ind w:left="0" w:right="0" w:firstLine="0"/>
      <w:jc w:val="right"/>
    </w:pPr>
    <w:r>
      <w:rPr>
        <w:rFonts w:ascii="Arial" w:hAnsi="Arial"/>
        <w:sz w:val="20"/>
      </w:rPr>
      <w:drawing>
        <wp:inline distT="0" distB="0" distL="0" distR="0" wp14:anchorId="76DE4EE5" wp14:editId="5A1E59A0">
          <wp:extent cx="1516566" cy="495045"/>
          <wp:effectExtent l="0" t="0" r="7620" b="63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6244" cy="530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852" w:hanging="15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09" w:hanging="15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8" w:hanging="15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8" w:hanging="15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7" w:hanging="15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7" w:hanging="15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6" w:hanging="15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5" w:hanging="15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5" w:hanging="15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277" w:hanging="3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lowerRoman"/>
      <w:lvlText w:val="%2)"/>
      <w:lvlJc w:val="left"/>
      <w:pPr>
        <w:ind w:left="1277" w:hanging="29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94" w:hanging="29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02" w:hanging="29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9" w:hanging="29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17" w:hanging="29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4" w:hanging="29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1" w:hanging="29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39" w:hanging="29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77" w:hanging="705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7" w:hanging="5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94" w:hanging="5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02" w:hanging="5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9" w:hanging="5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17" w:hanging="5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4" w:hanging="5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1" w:hanging="5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39" w:hanging="560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>
      <w:widowControl/>
    </w:pPr>
    <w:rPr>
      <w:rFonts w:ascii="Arial" w:hAnsi="Arial" w:eastAsia="Arial MT" w:cs="Arial MT"/>
      <w:color w:val="000000"/>
      <w:sz w:val="24"/>
      <w:lang w:val="pt-PT" w:eastAsia="en-US" w:bidi="ar-SA"/>
    </w:rPr>
  </w:style>
  <w:style w:styleId="BodyText" w:type="paragraph">
    <w:name w:val="Body Text"/>
    <w:basedOn w:val="Normal"/>
    <w:uiPriority w:val="1"/>
    <w:qFormat/>
    <w:pPr>
      <w:widowControl/>
    </w:pPr>
    <w:rPr>
      <w:rFonts w:ascii="Arial" w:hAnsi="Arial" w:eastAsia="Arial MT" w:cs="Arial MT"/>
      <w:color w:val="000000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276" w:hanging="705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widowControl/>
      <w:ind w:left="1276" w:hanging="560"/>
    </w:pPr>
    <w:rPr>
      <w:rFonts w:ascii="Arial" w:hAnsi="Arial" w:eastAsia="Arial MT" w:cs="Arial MT"/>
      <w:color w:val="000000"/>
      <w:sz w:val="24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  <w:style w:type="paragraph" w:customStyle="1" w:styleId="Heading1">
    <w:name w:val="heading 1"/>
    <w:pPr>
      <w:widowControl/>
    </w:pPr>
    <w:rPr>
      <w:rFonts w:ascii="Arial" w:hAnsi="Arial"/>
      <w:color w:val="000000"/>
      <w:sz w:val="24"/>
    </w:rPr>
  </w:style>
  <w:style w:type="paragraph" w:customStyle="1" w:styleId="Title">
    <w:name w:val="Title"/>
    <w:pPr>
      <w:widowControl/>
    </w:pPr>
    <w:rPr>
      <w:rFonts w:ascii="Arial" w:hAnsi="Arial"/>
      <w:color w:val="000000"/>
      <w:sz w:val="24"/>
    </w:rPr>
  </w:style>
  <w:style w:type="paragraph" w:styleId="PGBody">
    <w:name w:val="PrograMago Body"/>
    <w:pPr>
      <w:widowControl/>
      <w:spacing w:before="0" w:after="0" w:line="360" w:lineRule="auto"/>
      <w:ind w:left="0" w:right="0" w:firstLine="1134"/>
      <w:jc w:val="both"/>
    </w:pPr>
    <w:rPr>
      <w:rFonts w:ascii="Arial" w:hAnsi="Arial" w:eastAsia="Arial" w:cs="Arial"/>
      <w:sz w:val="24"/>
      <w:szCs w:val="24"/>
      <w:b w:val="0"/>
    </w:rPr>
  </w:style>
  <w:style w:type="paragraph" w:styleId="PGTitle">
    <w:name w:val="PrograMago Title"/>
    <w:pPr>
      <w:widowControl/>
      <w:spacing w:before="0" w:after="240" w:line="360" w:lineRule="auto"/>
      <w:ind w:left="0" w:right="0" w:firstLine="0"/>
      <w:jc w:val="center"/>
    </w:pPr>
    <w:rPr>
      <w:rFonts w:ascii="Arial" w:hAnsi="Arial" w:eastAsia="Arial" w:cs="Arial"/>
      <w:sz w:val="24"/>
      <w:szCs w:val="24"/>
      <w:b w:val="1"/>
    </w:rPr>
  </w:style>
  <w:style w:type="paragraph" w:styleId="PGAuthors">
    <w:name w:val="PrograMago Authors"/>
    <w:pPr>
      <w:widowControl/>
      <w:spacing w:before="0" w:after="240" w:line="360" w:lineRule="auto"/>
      <w:ind w:left="0" w:right="0" w:firstLine="0"/>
      <w:jc w:val="right"/>
    </w:pPr>
    <w:rPr>
      <w:rFonts w:ascii="Arial" w:hAnsi="Arial" w:eastAsia="Arial" w:cs="Arial"/>
      <w:sz w:val="24"/>
      <w:szCs w:val="24"/>
      <w:b w:val="1"/>
    </w:rPr>
  </w:style>
  <w:style w:type="paragraph" w:styleId="PGSummary">
    <w:name w:val="PrograMago Summary"/>
    <w:pPr>
      <w:widowControl/>
      <w:spacing w:before="0" w:after="0" w:line="240" w:lineRule="auto"/>
      <w:ind w:left="0" w:right="0" w:firstLine="0"/>
      <w:jc w:val="both"/>
    </w:pPr>
    <w:rPr>
      <w:rFonts w:ascii="Arial" w:hAnsi="Arial" w:eastAsia="Arial" w:cs="Arial"/>
      <w:sz w:val="24"/>
      <w:szCs w:val="24"/>
      <w:b w:val="0"/>
    </w:rPr>
  </w:style>
  <w:style w:type="paragraph" w:styleId="PGKeywords">
    <w:name w:val="PrograMago Keywords"/>
    <w:pPr>
      <w:widowControl/>
      <w:spacing w:before="0" w:after="240" w:line="240" w:lineRule="auto"/>
      <w:ind w:left="0" w:right="0" w:firstLine="0"/>
      <w:jc w:val="both"/>
    </w:pPr>
    <w:rPr>
      <w:rFonts w:ascii="Arial" w:hAnsi="Arial" w:eastAsia="Arial" w:cs="Arial"/>
      <w:sz w:val="24"/>
      <w:szCs w:val="24"/>
      <w:b w:val="0"/>
    </w:rPr>
  </w:style>
  <w:style w:type="paragraph" w:styleId="PGHeading1">
    <w:name w:val="PrograMago Heading1"/>
    <w:pPr>
      <w:keepNext/>
      <w:widowControl/>
      <w:spacing w:before="240" w:after="240" w:line="240" w:lineRule="auto"/>
      <w:ind w:left="0" w:right="0" w:firstLine="0"/>
      <w:jc w:val="left"/>
      <w:outlineLvl w:val="0"/>
    </w:pPr>
    <w:rPr>
      <w:rFonts w:ascii="Arial" w:hAnsi="Arial" w:eastAsia="Arial" w:cs="Arial"/>
      <w:sz w:val="24"/>
      <w:szCs w:val="24"/>
      <w:b w:val="1"/>
    </w:rPr>
  </w:style>
  <w:style w:type="paragraph" w:styleId="PGHeading2">
    <w:name w:val="PrograMago Heading2"/>
    <w:pPr>
      <w:keepNext/>
      <w:widowControl/>
      <w:spacing w:before="240" w:after="240" w:line="240" w:lineRule="auto"/>
      <w:ind w:left="0" w:right="0" w:firstLine="0"/>
      <w:jc w:val="left"/>
      <w:outlineLvl w:val="1"/>
    </w:pPr>
    <w:rPr>
      <w:rFonts w:ascii="Arial" w:hAnsi="Arial" w:eastAsia="Arial" w:cs="Arial"/>
      <w:sz w:val="24"/>
      <w:szCs w:val="24"/>
      <w:b w:val="0"/>
    </w:rPr>
  </w:style>
  <w:style w:type="paragraph" w:styleId="PGHeading3">
    <w:name w:val="PrograMago Heading3"/>
    <w:pPr>
      <w:keepNext/>
      <w:widowControl/>
      <w:spacing w:before="240" w:after="240" w:line="240" w:lineRule="auto"/>
      <w:ind w:left="0" w:right="0" w:firstLine="0"/>
      <w:jc w:val="left"/>
      <w:outlineLvl w:val="2"/>
    </w:pPr>
    <w:rPr>
      <w:rFonts w:ascii="Arial" w:hAnsi="Arial" w:eastAsia="Arial" w:cs="Arial"/>
      <w:sz w:val="24"/>
      <w:szCs w:val="24"/>
      <w:b w:val="1"/>
    </w:rPr>
  </w:style>
  <w:style w:type="paragraph" w:styleId="PGReferencesTitle">
    <w:name w:val="PrograMago ReferencesTitle"/>
    <w:pPr>
      <w:keepNext/>
      <w:widowControl/>
      <w:spacing w:before="240" w:after="240" w:line="240" w:lineRule="auto"/>
      <w:ind w:left="0" w:right="0" w:firstLine="0"/>
      <w:jc w:val="center"/>
    </w:pPr>
    <w:rPr>
      <w:rFonts w:ascii="Arial" w:hAnsi="Arial" w:eastAsia="Arial" w:cs="Arial"/>
      <w:sz w:val="24"/>
      <w:szCs w:val="24"/>
      <w:b w:val="1"/>
    </w:rPr>
  </w:style>
  <w:style w:type="paragraph" w:styleId="PGReferences">
    <w:name w:val="PrograMago References"/>
    <w:pPr>
      <w:widowControl/>
      <w:spacing w:before="0" w:after="240" w:line="240" w:lineRule="auto"/>
      <w:ind w:left="0" w:right="0" w:firstLine="0"/>
      <w:jc w:val="left"/>
    </w:pPr>
    <w:rPr>
      <w:rFonts w:ascii="Arial" w:hAnsi="Arial" w:eastAsia="Arial" w:cs="Arial"/>
      <w:sz w:val="24"/>
      <w:szCs w:val="24"/>
      <w:b w:val="0"/>
    </w:rPr>
  </w:style>
  <w:style w:type="paragraph" w:styleId="PGCaption">
    <w:name w:val="PrograMago Caption"/>
    <w:pPr>
      <w:keepNext/>
      <w:widowControl/>
      <w:spacing w:before="0" w:after="0" w:line="240" w:lineRule="auto"/>
      <w:ind w:left="0" w:right="0" w:firstLine="0"/>
      <w:jc w:val="center"/>
    </w:pPr>
    <w:rPr>
      <w:rFonts w:ascii="Arial" w:hAnsi="Arial" w:eastAsia="Arial" w:cs="Arial"/>
      <w:sz w:val="24"/>
      <w:szCs w:val="24"/>
      <w:b w:val="0"/>
    </w:rPr>
  </w:style>
  <w:style w:type="paragraph" w:styleId="PGSource">
    <w:name w:val="PrograMago Source"/>
    <w:pPr>
      <w:widowControl/>
      <w:spacing w:before="0" w:after="0" w:line="240" w:lineRule="auto"/>
      <w:ind w:left="0" w:right="0" w:firstLine="0"/>
      <w:jc w:val="center"/>
    </w:pPr>
    <w:rPr>
      <w:rFonts w:ascii="Arial" w:hAnsi="Arial" w:eastAsia="Arial" w:cs="Arial"/>
      <w:sz w:val="20"/>
      <w:szCs w:val="20"/>
      <w:b w:val="0"/>
    </w:rPr>
  </w:style>
  <w:style w:type="paragraph" w:styleId="PGFigure">
    <w:name w:val="PrograMago Figure"/>
    <w:pPr>
      <w:keepNext/>
      <w:widowControl/>
      <w:spacing w:before="0" w:after="0" w:line="240" w:lineRule="auto"/>
      <w:ind w:left="0" w:right="0" w:firstLine="0"/>
      <w:jc w:val="center"/>
    </w:pPr>
    <w:rPr>
      <w:rFonts w:ascii="Arial" w:hAnsi="Arial" w:eastAsia="Arial" w:cs="Arial"/>
      <w:sz w:val="24"/>
      <w:szCs w:val="24"/>
      <w:b w:val="0"/>
    </w:rPr>
  </w:style>
  <w:style w:type="paragraph" w:styleId="PGList">
    <w:name w:val="PrograMago List"/>
    <w:pPr>
      <w:widowControl/>
      <w:spacing w:before="0" w:after="0" w:line="360" w:lineRule="auto"/>
      <w:ind w:left="1854" w:hanging="360"/>
      <w:jc w:val="both"/>
    </w:pPr>
    <w:rPr>
      <w:rFonts w:ascii="Arial" w:hAnsi="Arial" w:eastAsia="Arial" w:cs="Arial"/>
      <w:sz w:val="24"/>
      <w:szCs w:val="24"/>
      <w:b w:val="0"/>
    </w:rPr>
  </w:style>
  <w:style w:type="paragraph" w:styleId="PGLongQuote">
    <w:name w:val="PrograMago LongQuote"/>
    <w:pPr>
      <w:widowControl/>
      <w:spacing w:before="0" w:after="0" w:line="240" w:lineRule="auto"/>
      <w:ind w:left="2268" w:firstLine="0"/>
      <w:jc w:val="both"/>
    </w:pPr>
    <w:rPr>
      <w:rFonts w:ascii="Arial" w:hAnsi="Arial" w:eastAsia="Arial" w:cs="Arial"/>
      <w:sz w:val="20"/>
      <w:szCs w:val="20"/>
      <w:b w:val="0"/>
    </w:rPr>
  </w:style>
  <w:style w:type="paragraph" w:styleId="PGHeader">
    <w:name w:val="PrograMago Header"/>
    <w:pPr>
      <w:widowControl/>
      <w:spacing w:before="0" w:after="0" w:line="240" w:lineRule="auto"/>
      <w:ind w:left="0" w:right="0" w:firstLine="0"/>
      <w:jc w:val="both"/>
    </w:pPr>
    <w:rPr>
      <w:rFonts w:ascii="Arial" w:hAnsi="Arial" w:eastAsia="Arial" w:cs="Arial"/>
      <w:sz w:val="20"/>
      <w:szCs w:val="20"/>
      <w:b w:val="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hyperlink" Target="https://doi.org/10.3390/info12030101" TargetMode="External"/><Relationship Id="rId8" Type="http://schemas.openxmlformats.org/officeDocument/2006/relationships/hyperlink" Target="https://doi.org/10.18265/2447-9187a2024id8545" TargetMode="External"/><Relationship Id="rId9" Type="http://schemas.openxmlformats.org/officeDocument/2006/relationships/hyperlink" Target="https://doi.org/10.25046/aj0506203" TargetMode="External"/><Relationship Id="rId10" Type="http://schemas.openxmlformats.org/officeDocument/2006/relationships/hyperlink" Target="https://doi.org/10.5753/wei.2015.10248" TargetMode="External"/><Relationship Id="rId11" Type="http://schemas.openxmlformats.org/officeDocument/2006/relationships/hyperlink" Target="https://www.lume.ufrgs.br/bitstream/handle/10183/213804/000728734.pdf" TargetMode="External"/><Relationship Id="rId12" Type="http://schemas.openxmlformats.org/officeDocument/2006/relationships/hyperlink" Target="https://doi.org/10.22456/1679-1916.61433" TargetMode="External"/><Relationship Id="rId13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Vânia Medeiros Ribeiro Urbanski</dc:creator>
  <dcterms:created xsi:type="dcterms:W3CDTF">2026-09-21T23:16:13Z</dcterms:created>
  <dcterms:modified xsi:type="dcterms:W3CDTF">2026-09-21T23:16:13Z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2026-09-21T00:00:00Z</vt:filetime>
  </property>
</Properties>
</file>