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Procurement Policy</w:t>
      </w:r>
    </w:p>
    <w:p>
      <w:pPr>
        <w:pStyle w:val="Heading2"/>
      </w:pPr>
      <w:r>
        <w:t>Quotations</w:t>
      </w:r>
    </w:p>
    <w:p>
      <w:r>
        <w:t>Purchases up to UGX 5,000,000 need one written quotation. Purchases above UGX 5,000,000 need at least three written quotations. The cheapest quotation is not always chosen but the reason for the choice is written down.</w:t>
      </w:r>
    </w:p>
    <w:p>
      <w:pPr>
        <w:pStyle w:val="Heading2"/>
      </w:pPr>
      <w:r>
        <w:t>Tender committee</w:t>
      </w:r>
    </w:p>
    <w:p>
      <w:r>
        <w:t>Purchases above UGX 50,000,000 go to the Tender Committee. Purchases above UGX 500,000,000 need Board approval.</w:t>
      </w:r>
    </w:p>
    <w:p>
      <w:pPr>
        <w:pStyle w:val="Heading2"/>
      </w:pPr>
      <w:r>
        <w:t>Suppliers</w:t>
      </w:r>
    </w:p>
    <w:p>
      <w:r>
        <w:t>New suppliers are registered by Finance after a tax clearance check and a due diligence form. A supplier that handles customer data must also pass the information security review.</w:t>
      </w:r>
    </w:p>
    <w:p>
      <w:pPr>
        <w:pStyle w:val="Heading2"/>
      </w:pPr>
      <w:r>
        <w:t>Payment</w:t>
      </w:r>
    </w:p>
    <w:p>
      <w:r>
        <w:t>Invoices are paid within 30 days of receipt of goods and a correct invoice. No payment is made against a verbal order.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Policy</dc:title>
  <dc:subject/>
  <dc:creator>Kitara Group</dc:creator>
  <cp:keywords/>
  <dc:description>generated by python-docx</dc:description>
  <cp:lastModifiedBy/>
  <cp:revision>1</cp:revision>
  <dcterms:created xsi:type="dcterms:W3CDTF">2026-10-29T09:00:00Z</dcterms:created>
  <dcterms:modified xsi:type="dcterms:W3CDTF">2026-10-29T09:00:00Z</dcterms:modified>
  <cp:category/>
  <cp:lastPrinted>2026-10-29T09:00:00Z</cp:lastPrinted>
</cp:coreProperties>
</file>