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and Development Policy</w:t>
      </w:r>
    </w:p>
    <w:p>
      <w:pPr>
        <w:pStyle w:val="Heading2"/>
      </w:pPr>
      <w:r>
        <w:t>Budget</w:t>
      </w:r>
    </w:p>
    <w:p>
      <w:r>
        <w:t>Kitara sets aside 1.5 percent of annual payroll for training.</w:t>
      </w:r>
    </w:p>
    <w:p>
      <w:pPr>
        <w:pStyle w:val="Heading2"/>
      </w:pPr>
      <w:r>
        <w:t>Study leave</w:t>
      </w:r>
    </w:p>
    <w:p>
      <w:r>
        <w:t>Staff on approved courses may take up to 10 working days of study leave a year, in addition to annual leave.</w:t>
      </w:r>
    </w:p>
    <w:p>
      <w:pPr>
        <w:pStyle w:val="Heading2"/>
      </w:pPr>
      <w:r>
        <w:t>Bonding</w:t>
      </w:r>
    </w:p>
    <w:p>
      <w:r>
        <w:t>A course that costs more than UGX 5,000,000 carries a bond of 12 months. A staff member who leaves before the bond ends repays a share of the fees.</w:t>
      </w:r>
    </w:p>
    <w:p>
      <w:pPr>
        <w:pStyle w:val="Heading2"/>
      </w:pPr>
      <w:r>
        <w:t>Mandatory training</w:t>
      </w:r>
    </w:p>
    <w:p>
      <w:r>
        <w:t>All staff complete AML training and information security training every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and Development Policy</dc:title>
  <dc:subject/>
  <dc:creator>Kitara Group</dc:creator>
  <cp:keywords/>
  <dc:description>generated by python-docx</dc:description>
  <cp:lastModifiedBy/>
  <cp:revision>1</cp:revision>
  <dcterms:created xsi:type="dcterms:W3CDTF">2026-10-29T09:00:00Z</dcterms:created>
  <dcterms:modified xsi:type="dcterms:W3CDTF">2026-10-29T09:00:00Z</dcterms:modified>
  <cp:category/>
  <cp:lastPrinted>2026-10-29T09:00:00Z</cp:lastPrinted>
</cp:coreProperties>
</file>