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mbria" w:cs="Cambria" w:eastAsia="Cambria" w:hAnsi="Cambria"/>
          <w:b/>
          <w:bCs/>
          <w:color w:val="1F2328"/>
          <w:sz w:val="48"/>
          <w:szCs w:val="48"/>
        </w:rPr>
        <w:t xml:space="preserve">Setup Guide</w:t>
      </w:r>
    </w:p>
    <w:p>
      <w:pPr>
        <w:spacing w:after="200"/>
      </w:pPr>
      <w:r>
        <w:rPr>
          <w:rFonts w:ascii="Calibri" w:cs="Calibri" w:eastAsia="Calibri" w:hAnsi="Calibri"/>
          <w:color w:val="6A6F75"/>
          <w:sz w:val="28"/>
          <w:szCs w:val="28"/>
        </w:rPr>
        <w:t xml:space="preserve">Enterprise Data Readiness for AI. Before Session 1</w:t>
      </w:r>
    </w:p>
    <w:p>
      <w:pPr>
        <w:spacing w:after="120" w:line="276"/>
      </w:pPr>
      <w:r>
        <w:rPr>
          <w:rFonts w:ascii="Calibri" w:cs="Calibri" w:eastAsia="Calibri" w:hAnsi="Calibri"/>
          <w:color w:val="3B4046"/>
          <w:sz w:val="22"/>
          <w:szCs w:val="22"/>
        </w:rPr>
        <w:t xml:space="preserve">Everything here is free. Allow about thirty minutes.</w:t>
      </w:r>
    </w:p>
    <w:p>
      <w:pPr>
        <w:pStyle w:val="Heading1"/>
        <w:spacing w:after="160" w:before="360"/>
      </w:pPr>
      <w:r>
        <w:rPr>
          <w:rFonts w:ascii="Cambria" w:cs="Cambria" w:eastAsia="Cambria" w:hAnsi="Cambria"/>
          <w:b/>
          <w:bCs/>
          <w:color w:val="1F2328"/>
          <w:sz w:val="36"/>
          <w:szCs w:val="36"/>
        </w:rPr>
        <w:t xml:space="preserve">What to bring</w:t>
      </w:r>
    </w:p>
    <w:p>
      <w:pPr>
        <w:pStyle w:val="ListParagraph"/>
        <w:numPr>
          <w:ilvl w:val="0"/>
          <w:numId w:val="2"/>
        </w:numPr>
        <w:spacing w:after="60" w:line="264"/>
      </w:pPr>
      <w:r>
        <w:rPr>
          <w:rFonts w:ascii="Calibri" w:cs="Calibri" w:eastAsia="Calibri" w:hAnsi="Calibri"/>
          <w:color w:val="3B4046"/>
          <w:sz w:val="22"/>
          <w:szCs w:val="22"/>
        </w:rPr>
        <w:t xml:space="preserve">A laptop with a browser and a charger.</w:t>
      </w:r>
    </w:p>
    <w:p>
      <w:pPr>
        <w:pStyle w:val="ListParagraph"/>
        <w:numPr>
          <w:ilvl w:val="0"/>
          <w:numId w:val="2"/>
        </w:numPr>
        <w:spacing w:after="60" w:line="264"/>
      </w:pPr>
      <w:r>
        <w:rPr>
          <w:rFonts w:ascii="Calibri" w:cs="Calibri" w:eastAsia="Calibri" w:hAnsi="Calibri"/>
          <w:color w:val="3B4046"/>
          <w:sz w:val="22"/>
          <w:szCs w:val="22"/>
        </w:rPr>
        <w:t xml:space="preserve">A free Google account. Colab and Google Sheets use it.</w:t>
      </w:r>
    </w:p>
    <w:p>
      <w:pPr>
        <w:pStyle w:val="ListParagraph"/>
        <w:numPr>
          <w:ilvl w:val="0"/>
          <w:numId w:val="2"/>
        </w:numPr>
        <w:spacing w:after="60" w:line="264"/>
      </w:pPr>
      <w:r>
        <w:rPr>
          <w:rFonts w:ascii="Calibri" w:cs="Calibri" w:eastAsia="Calibri" w:hAnsi="Calibri"/>
          <w:color w:val="3B4046"/>
          <w:sz w:val="22"/>
          <w:szCs w:val="22"/>
        </w:rPr>
        <w:t xml:space="preserve">A spreadsheet program. Google Sheets, Excel and LibreOffice all work.</w:t>
      </w:r>
    </w:p>
    <w:p>
      <w:pPr>
        <w:pStyle w:val="ListParagraph"/>
        <w:numPr>
          <w:ilvl w:val="0"/>
          <w:numId w:val="2"/>
        </w:numPr>
        <w:spacing w:after="60" w:line="264"/>
      </w:pPr>
      <w:r>
        <w:rPr>
          <w:rFonts w:ascii="Calibri" w:cs="Calibri" w:eastAsia="Calibri" w:hAnsi="Calibri"/>
          <w:color w:val="3B4046"/>
          <w:sz w:val="22"/>
          <w:szCs w:val="22"/>
        </w:rPr>
        <w:t xml:space="preserve">50 documents from one shared drive, ready by Session 5. They must be non-confidential, hold no personal data, and have the written approval of the person who owns them. Choose a mix: old and new, long and short, PDFs, scans and Word files.</w:t>
      </w:r>
    </w:p>
    <w:p>
      <w:pPr>
        <w:pStyle w:val="ListParagraph"/>
        <w:numPr>
          <w:ilvl w:val="0"/>
          <w:numId w:val="2"/>
        </w:numPr>
        <w:spacing w:after="60" w:line="264"/>
      </w:pPr>
      <w:r>
        <w:rPr>
          <w:rFonts w:ascii="Calibri" w:cs="Calibri" w:eastAsia="Calibri" w:hAnsi="Calibri"/>
          <w:color w:val="3B4046"/>
          <w:sz w:val="22"/>
          <w:szCs w:val="22"/>
        </w:rPr>
        <w:t xml:space="preserve">A pen. The Participant Workbook has ruled space for your answers.</w:t>
      </w:r>
    </w:p>
    <w:p>
      <w:pPr>
        <w:pStyle w:val="Heading3"/>
        <w:spacing w:after="60" w:before="160"/>
      </w:pPr>
      <w:r>
        <w:rPr>
          <w:rFonts w:ascii="Calibri" w:cs="Calibri" w:eastAsia="Calibri" w:hAnsi="Calibri"/>
          <w:b/>
          <w:bCs/>
          <w:color w:val="1F2328"/>
          <w:sz w:val="24"/>
          <w:szCs w:val="24"/>
        </w:rPr>
        <w:t xml:space="preserve">Approval note</w:t>
      </w:r>
    </w:p>
    <w:p>
      <w:pPr>
        <w:spacing w:after="120" w:line="276"/>
      </w:pPr>
      <w:r>
        <w:rPr>
          <w:rFonts w:ascii="Calibri" w:cs="Calibri" w:eastAsia="Calibri" w:hAnsi="Calibri"/>
          <w:color w:val="3B4046"/>
          <w:sz w:val="22"/>
          <w:szCs w:val="22"/>
        </w:rPr>
        <w:t xml:space="preserve">A short email from the document owner is enough. It can follow this wording.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2328" w:sz="12"/>
              <w:left w:val="none" w:color="FFFFFF" w:sz="0"/>
              <w:bottom w:val="single" w:color="C9C5BC" w:sz="4"/>
              <w:right w:val="none" w:color="FFFFFF" w:sz="0"/>
            </w:tcBorders>
            <w:tcMar>
              <w:top w:type="dxa" w:w="140"/>
              <w:left w:type="dxa" w:w="0"/>
              <w:bottom w:type="dxa" w:w="120"/>
              <w:right w:type="dxa" w:w="0"/>
            </w:tcMar>
          </w:tcPr>
          <w:p>
            <w:pPr>
              <w:spacing w:after="70" w:line="264"/>
            </w:pPr>
            <w:r>
              <w:rPr>
                <w:rFonts w:ascii="Calibri" w:cs="Calibri" w:eastAsia="Calibri" w:hAnsi="Calibri"/>
                <w:color w:val="3B4046"/>
                <w:sz w:val="22"/>
                <w:szCs w:val="22"/>
              </w:rPr>
              <w:t xml:space="preserve">I approve the use of the documents listed below in the training Enterprise Data Readiness for AI. They are not confidential and hold no personal data. They stay on the participant's laptop.</w:t>
            </w:r>
          </w:p>
          <w:p>
            <w:pPr>
              <w:spacing w:after="70" w:line="264"/>
            </w:pPr>
            <w:r>
              <w:rPr>
                <w:rFonts w:ascii="Calibri" w:cs="Calibri" w:eastAsia="Calibri" w:hAnsi="Calibri"/>
                <w:color w:val="3B4046"/>
                <w:sz w:val="22"/>
                <w:szCs w:val="22"/>
              </w:rPr>
              <w:t xml:space="preserve">Name and role of the owner:</w:t>
            </w:r>
          </w:p>
          <w:p>
            <w:pPr>
              <w:spacing w:after="70" w:line="264"/>
            </w:pPr>
            <w:r>
              <w:rPr>
                <w:rFonts w:ascii="Calibri" w:cs="Calibri" w:eastAsia="Calibri" w:hAnsi="Calibri"/>
                <w:color w:val="3B4046"/>
                <w:sz w:val="22"/>
                <w:szCs w:val="22"/>
              </w:rPr>
              <w:t xml:space="preserve">Date:</w:t>
            </w:r>
          </w:p>
          <w:p>
            <w:pPr>
              <w:spacing w:after="70" w:line="264"/>
            </w:pPr>
            <w:r>
              <w:rPr>
                <w:rFonts w:ascii="Calibri" w:cs="Calibri" w:eastAsia="Calibri" w:hAnsi="Calibri"/>
                <w:color w:val="3B4046"/>
                <w:sz w:val="22"/>
                <w:szCs w:val="22"/>
              </w:rPr>
              <w:t xml:space="preserve">List or folder:</w:t>
            </w:r>
          </w:p>
        </w:tc>
      </w:tr>
    </w:tbl>
    <w:p>
      <w:pPr>
        <w:pStyle w:val="Heading1"/>
        <w:spacing w:after="160" w:before="360"/>
      </w:pPr>
      <w:r>
        <w:rPr>
          <w:rFonts w:ascii="Cambria" w:cs="Cambria" w:eastAsia="Cambria" w:hAnsi="Cambria"/>
          <w:b/>
          <w:bCs/>
          <w:color w:val="1F2328"/>
          <w:sz w:val="36"/>
          <w:szCs w:val="36"/>
        </w:rPr>
        <w:t xml:space="preserve">The team notebook</w:t>
      </w:r>
    </w:p>
    <w:p>
      <w:pPr>
        <w:spacing w:after="120" w:line="276"/>
      </w:pPr>
      <w:r>
        <w:rPr>
          <w:rFonts w:ascii="Calibri" w:cs="Calibri" w:eastAsia="Calibri" w:hAnsi="Calibri"/>
          <w:color w:val="3B4046"/>
          <w:sz w:val="22"/>
          <w:szCs w:val="22"/>
        </w:rPr>
        <w:t xml:space="preserve">Each session has one team notebook, in the folder Practice Files/notebooks. The data colleague runs it. Leaders can follow on the shared screen.</w:t>
      </w:r>
    </w:p>
    <w:p>
      <w:pPr>
        <w:pStyle w:val="ListParagraph"/>
        <w:numPr>
          <w:ilvl w:val="0"/>
          <w:numId w:val="3"/>
        </w:numPr>
        <w:spacing w:after="60" w:line="264"/>
      </w:pPr>
      <w:r>
        <w:rPr>
          <w:rFonts w:ascii="Calibri" w:cs="Calibri" w:eastAsia="Calibri" w:hAnsi="Calibri"/>
          <w:color w:val="3B4046"/>
          <w:sz w:val="22"/>
          <w:szCs w:val="22"/>
        </w:rPr>
        <w:t xml:space="preserve">Go to colab.research.google.com and sign in with your Google account.</w:t>
      </w:r>
    </w:p>
    <w:p>
      <w:pPr>
        <w:pStyle w:val="ListParagraph"/>
        <w:numPr>
          <w:ilvl w:val="0"/>
          <w:numId w:val="3"/>
        </w:numPr>
        <w:spacing w:after="60" w:line="264"/>
      </w:pPr>
      <w:r>
        <w:rPr>
          <w:rFonts w:ascii="Calibri" w:cs="Calibri" w:eastAsia="Calibri" w:hAnsi="Calibri"/>
          <w:color w:val="3B4046"/>
          <w:sz w:val="22"/>
          <w:szCs w:val="22"/>
        </w:rPr>
        <w:t xml:space="preserve">Choose File, then Upload notebook, and pick the notebook file for the session.</w:t>
      </w:r>
    </w:p>
    <w:p>
      <w:pPr>
        <w:pStyle w:val="ListParagraph"/>
        <w:numPr>
          <w:ilvl w:val="0"/>
          <w:numId w:val="3"/>
        </w:numPr>
        <w:spacing w:after="60" w:line="264"/>
      </w:pPr>
      <w:r>
        <w:rPr>
          <w:rFonts w:ascii="Calibri" w:cs="Calibri" w:eastAsia="Calibri" w:hAnsi="Calibri"/>
          <w:color w:val="3B4046"/>
          <w:sz w:val="22"/>
          <w:szCs w:val="22"/>
        </w:rPr>
        <w:t xml:space="preserve">Run the first cell. Its first line says Run this cell first. It is the setup cell.</w:t>
      </w:r>
    </w:p>
    <w:p>
      <w:pPr>
        <w:pStyle w:val="ListParagraph"/>
        <w:numPr>
          <w:ilvl w:val="0"/>
          <w:numId w:val="3"/>
        </w:numPr>
        <w:spacing w:after="60" w:line="264"/>
      </w:pPr>
      <w:r>
        <w:rPr>
          <w:rFonts w:ascii="Calibri" w:cs="Calibri" w:eastAsia="Calibri" w:hAnsi="Calibri"/>
          <w:color w:val="3B4046"/>
          <w:sz w:val="22"/>
          <w:szCs w:val="22"/>
        </w:rPr>
        <w:t xml:space="preserve">When the cell asks, choose the file data.zip from your computer. If your tutor gives a link, paste it between the quotation marks after DATA_ZIP_URL and run the cell again.</w:t>
      </w:r>
    </w:p>
    <w:p>
      <w:pPr>
        <w:pStyle w:val="ListParagraph"/>
        <w:numPr>
          <w:ilvl w:val="0"/>
          <w:numId w:val="3"/>
        </w:numPr>
        <w:spacing w:after="60" w:line="264"/>
      </w:pPr>
      <w:r>
        <w:rPr>
          <w:rFonts w:ascii="Calibri" w:cs="Calibri" w:eastAsia="Calibri" w:hAnsi="Calibri"/>
          <w:color w:val="3B4046"/>
          <w:sz w:val="22"/>
          <w:szCs w:val="22"/>
        </w:rPr>
        <w:t xml:space="preserve">The cell prints Data ready and lists the files. The data and the Kitara documents are now in the notebook folder.</w:t>
      </w:r>
    </w:p>
    <w:p>
      <w:pPr>
        <w:pStyle w:val="ListParagraph"/>
        <w:numPr>
          <w:ilvl w:val="0"/>
          <w:numId w:val="3"/>
        </w:numPr>
        <w:spacing w:after="60" w:line="264"/>
      </w:pPr>
      <w:r>
        <w:rPr>
          <w:rFonts w:ascii="Calibri" w:cs="Calibri" w:eastAsia="Calibri" w:hAnsi="Calibri"/>
          <w:color w:val="3B4046"/>
          <w:sz w:val="22"/>
          <w:szCs w:val="22"/>
        </w:rPr>
        <w:t xml:space="preserve">Run the other cells from the top. Cells that begin with # Your turn are for your team to complete. The check cell after each task prints Task correct when the answer is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2328" w:sz="12"/>
              <w:left w:val="none" w:color="FFFFFF" w:sz="0"/>
              <w:bottom w:val="single" w:color="C9C5BC" w:sz="4"/>
              <w:right w:val="none" w:color="FFFFFF" w:sz="0"/>
            </w:tcBorders>
            <w:tcMar>
              <w:top w:type="dxa" w:w="140"/>
              <w:left w:type="dxa" w:w="0"/>
              <w:bottom w:type="dxa" w:w="120"/>
              <w:right w:type="dxa" w:w="0"/>
            </w:tcMar>
          </w:tcPr>
          <w:p>
            <w:pPr>
              <w:spacing w:after="70" w:line="264"/>
            </w:pPr>
            <w:r>
              <w:rPr>
                <w:rFonts w:ascii="Calibri" w:cs="Calibri" w:eastAsia="Calibri" w:hAnsi="Calibri"/>
                <w:color w:val="3B4046"/>
                <w:sz w:val="22"/>
                <w:szCs w:val="22"/>
              </w:rPr>
              <w:t xml:space="preserve">Run the setup cell first in every session. Each notebook needs its own copy of the data.</w:t>
            </w:r>
          </w:p>
        </w:tc>
      </w:tr>
    </w:tbl>
    <w:p>
      <w:pPr>
        <w:pStyle w:val="Heading1"/>
        <w:spacing w:after="160" w:before="360"/>
      </w:pPr>
      <w:r>
        <w:rPr>
          <w:rFonts w:ascii="Cambria" w:cs="Cambria" w:eastAsia="Cambria" w:hAnsi="Cambria"/>
          <w:b/>
          <w:bCs/>
          <w:color w:val="1F2328"/>
          <w:sz w:val="36"/>
          <w:szCs w:val="36"/>
        </w:rPr>
        <w:t xml:space="preserve">If Colab disconnects</w:t>
      </w:r>
    </w:p>
    <w:p>
      <w:pPr>
        <w:spacing w:after="120" w:line="276"/>
      </w:pPr>
      <w:r>
        <w:rPr>
          <w:rFonts w:ascii="Calibri" w:cs="Calibri" w:eastAsia="Calibri" w:hAnsi="Calibri"/>
          <w:color w:val="3B4046"/>
          <w:sz w:val="22"/>
          <w:szCs w:val="22"/>
        </w:rPr>
        <w:t xml:space="preserve">Google does not publish the limits of free Colab. A session can stop after a period without activity and after a long run. When it stops, the notebook keeps its code and loses its variables and uploaded files.</w:t>
      </w:r>
    </w:p>
    <w:p>
      <w:pPr>
        <w:pStyle w:val="ListParagraph"/>
        <w:numPr>
          <w:ilvl w:val="0"/>
          <w:numId w:val="2"/>
        </w:numPr>
        <w:spacing w:after="60" w:line="264"/>
      </w:pPr>
      <w:r>
        <w:rPr>
          <w:rFonts w:ascii="Calibri" w:cs="Calibri" w:eastAsia="Calibri" w:hAnsi="Calibri"/>
          <w:color w:val="3B4046"/>
          <w:sz w:val="22"/>
          <w:szCs w:val="22"/>
        </w:rPr>
        <w:t xml:space="preserve">Choose Connect again, then run the setup cell, then run the cells from the top.</w:t>
      </w:r>
    </w:p>
    <w:p>
      <w:pPr>
        <w:pStyle w:val="ListParagraph"/>
        <w:numPr>
          <w:ilvl w:val="0"/>
          <w:numId w:val="2"/>
        </w:numPr>
        <w:spacing w:after="60" w:line="264"/>
      </w:pPr>
      <w:r>
        <w:rPr>
          <w:rFonts w:ascii="Calibri" w:cs="Calibri" w:eastAsia="Calibri" w:hAnsi="Calibri"/>
          <w:color w:val="3B4046"/>
          <w:sz w:val="22"/>
          <w:szCs w:val="22"/>
        </w:rPr>
        <w:t xml:space="preserve">Save a copy to Google Drive with File, then Save a copy in Drive, so that your edits are kept.</w:t>
      </w:r>
    </w:p>
    <w:p>
      <w:pPr>
        <w:pStyle w:val="ListParagraph"/>
        <w:numPr>
          <w:ilvl w:val="0"/>
          <w:numId w:val="2"/>
        </w:numPr>
        <w:spacing w:after="60" w:line="264"/>
      </w:pPr>
      <w:r>
        <w:rPr>
          <w:rFonts w:ascii="Calibri" w:cs="Calibri" w:eastAsia="Calibri" w:hAnsi="Calibri"/>
          <w:color w:val="3B4046"/>
          <w:sz w:val="22"/>
          <w:szCs w:val="22"/>
        </w:rPr>
        <w:t xml:space="preserve">Copy each finished table into your workbook as you go.</w:t>
      </w:r>
    </w:p>
    <w:p>
      <w:pPr>
        <w:pStyle w:val="ListParagraph"/>
        <w:numPr>
          <w:ilvl w:val="0"/>
          <w:numId w:val="2"/>
        </w:numPr>
        <w:spacing w:after="60" w:line="264"/>
      </w:pPr>
      <w:r>
        <w:rPr>
          <w:rFonts w:ascii="Calibri" w:cs="Calibri" w:eastAsia="Calibri" w:hAnsi="Calibri"/>
          <w:color w:val="3B4046"/>
          <w:sz w:val="22"/>
          <w:szCs w:val="22"/>
        </w:rPr>
        <w:t xml:space="preserve">If a cell reports that a library is not found, install it with pip install followed by the library name, and run the cell again.</w:t>
      </w:r>
    </w:p>
    <w:p>
      <w:pPr>
        <w:pStyle w:val="Heading1"/>
        <w:spacing w:after="160" w:before="360"/>
      </w:pPr>
      <w:r>
        <w:rPr>
          <w:rFonts w:ascii="Cambria" w:cs="Cambria" w:eastAsia="Cambria" w:hAnsi="Cambria"/>
          <w:b/>
          <w:bCs/>
          <w:color w:val="1F2328"/>
          <w:sz w:val="36"/>
          <w:szCs w:val="36"/>
        </w:rPr>
        <w:t xml:space="preserve">The free tools</w:t>
      </w:r>
    </w:p>
    <w:p>
      <w:pPr>
        <w:spacing w:after="120" w:line="276"/>
      </w:pPr>
      <w:r>
        <w:rPr>
          <w:rFonts w:ascii="Calibri" w:cs="Calibri" w:eastAsia="Calibri" w:hAnsi="Calibri"/>
          <w:color w:val="3B4046"/>
          <w:sz w:val="22"/>
          <w:szCs w:val="22"/>
        </w:rPr>
        <w:t xml:space="preserve">Every tool in the course is free for you and for the tutor. Status verified means the free-use terms were confirmed from public sources. Status check means read the licence file on the day you decide to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900"/>
        <w:gridCol w:w="1138"/>
      </w:tblGrid>
      <w:tr>
        <w:trPr>
          <w:tblHeader/>
        </w:trPr>
        <w:tc>
          <w:tcPr>
            <w:tcW w:type="dxa" w:w="23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Tool</w:t>
            </w:r>
          </w:p>
        </w:tc>
        <w:tc>
          <w:tcPr>
            <w:tcW w:type="dxa" w:w="23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Use</w:t>
            </w:r>
          </w:p>
        </w:tc>
        <w:tc>
          <w:tcPr>
            <w:tcW w:type="dxa" w:w="39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Cost and terms</w:t>
            </w:r>
          </w:p>
        </w:tc>
        <w:tc>
          <w:tcPr>
            <w:tcW w:type="dxa" w:w="11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Status</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Google Colab</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Run notebooks in the browser. Nothing to install.</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tier with a free Google account. Limits are not published.</w:t>
            </w:r>
          </w:p>
        </w:tc>
        <w:tc>
          <w:tcPr>
            <w:tcW w:type="dxa" w:w="11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Spreadsheet (Google Sheets, Excel or LibreOffice)</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The scorecard, inventory, risk register and roadmap templates.</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Any spreadsheet works.</w:t>
            </w:r>
          </w:p>
        </w:tc>
        <w:tc>
          <w:tcPr>
            <w:tcW w:type="dxa" w:w="11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Python with pandas, pypdf, pdfplumber, matplotlib</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Profile data, extract text, score searches.</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open source.</w:t>
            </w:r>
          </w:p>
        </w:tc>
        <w:tc>
          <w:tcPr>
            <w:tcW w:type="dxa" w:w="11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Tesseract OCR</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Read scanned pages.</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Apache-2.0.</w:t>
            </w:r>
          </w:p>
        </w:tc>
        <w:tc>
          <w:tcPr>
            <w:tcW w:type="dxa" w:w="11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sentence-transformers</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Embeddings for meaning search.</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Library Apache-2.0. Read the model card licence for each model.</w:t>
            </w:r>
          </w:p>
        </w:tc>
        <w:tc>
          <w:tcPr>
            <w:tcW w:type="dxa" w:w="11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check</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Chroma and PostgreSQL with pgvector</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Store and search vectors.</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Free. Apache-2.0 and PostgreSQL licence.</w:t>
            </w:r>
          </w:p>
        </w:tc>
        <w:tc>
          <w:tcPr>
            <w:tcW w:type="dxa" w:w="11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check</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DuckDB and Parquet</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Fast analytical SQL on files.</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Free. MIT and Apache-2.0.</w:t>
            </w:r>
          </w:p>
        </w:tc>
        <w:tc>
          <w:tcPr>
            <w:tcW w:type="dxa" w:w="11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check</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Pandera and Great Expectations Core</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Quality rules a machine checks.</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Free. MIT and Apache-2.0.</w:t>
            </w:r>
          </w:p>
        </w:tc>
        <w:tc>
          <w:tcPr>
            <w:tcW w:type="dxa" w:w="11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check</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DataHub and OpenMetadata</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Data catalogue and lineage, shown by the tutor.</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Free. DataHub Apache-2.0. Read the OpenMetadata licence files.</w:t>
            </w:r>
          </w:p>
        </w:tc>
        <w:tc>
          <w:tcPr>
            <w:tcW w:type="dxa" w:w="11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check</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Dagster or Apache Airflow</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Schedule pipeline steps, shown by the tutor.</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Free. Apache-2.0.</w:t>
            </w:r>
          </w:p>
        </w:tc>
        <w:tc>
          <w:tcPr>
            <w:tcW w:type="dxa" w:w="11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check</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Microsoft Presidio</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Find and mask personal data.</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Free. MIT. Confirm the current repository.</w:t>
            </w:r>
          </w:p>
        </w:tc>
        <w:tc>
          <w:tcPr>
            <w:tcW w:type="dxa" w:w="11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check</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Ragas</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Optional retrieval metrics.</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Free. Apache-2.0.</w:t>
            </w:r>
          </w:p>
        </w:tc>
        <w:tc>
          <w:tcPr>
            <w:tcW w:type="dxa" w:w="11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check</w:t>
            </w:r>
          </w:p>
        </w:tc>
      </w:tr>
    </w:tbl>
    <w:p>
      <w:pPr>
        <w:spacing w:after="120" w:line="276"/>
      </w:pPr>
      <w:r>
        <w:rPr>
          <w:rFonts w:ascii="Calibri" w:cs="Calibri" w:eastAsia="Calibri" w:hAnsi="Calibri"/>
          <w:color w:val="3B4046"/>
          <w:sz w:val="22"/>
          <w:szCs w:val="22"/>
        </w:rPr>
        <w:t xml:space="preserve"/>
      </w:r>
    </w:p>
    <w:p>
      <w:pPr>
        <w:pStyle w:val="Heading3"/>
        <w:spacing w:after="60" w:before="160"/>
      </w:pPr>
      <w:r>
        <w:rPr>
          <w:rFonts w:ascii="Calibri" w:cs="Calibri" w:eastAsia="Calibri" w:hAnsi="Calibri"/>
          <w:b/>
          <w:bCs/>
          <w:color w:val="1F2328"/>
          <w:sz w:val="24"/>
          <w:szCs w:val="24"/>
        </w:rPr>
        <w:t xml:space="preserve">Tools the course avoids</w:t>
      </w:r>
    </w:p>
    <w:p>
      <w:pPr>
        <w:pStyle w:val="ListParagraph"/>
        <w:numPr>
          <w:ilvl w:val="0"/>
          <w:numId w:val="2"/>
        </w:numPr>
        <w:spacing w:after="60" w:line="264"/>
      </w:pPr>
      <w:r>
        <w:rPr>
          <w:rFonts w:ascii="Calibri" w:cs="Calibri" w:eastAsia="Calibri" w:hAnsi="Calibri"/>
          <w:b/>
          <w:bCs/>
          <w:color w:val="3B4046"/>
          <w:sz w:val="22"/>
          <w:szCs w:val="22"/>
        </w:rPr>
        <w:t xml:space="preserve">Docker Desktop. </w:t>
      </w:r>
      <w:r>
        <w:rPr>
          <w:rFonts w:ascii="Calibri" w:cs="Calibri" w:eastAsia="Calibri" w:hAnsi="Calibri"/>
          <w:color w:val="3B4046"/>
          <w:sz w:val="22"/>
          <w:szCs w:val="22"/>
        </w:rPr>
        <w:t xml:space="preserve">Free for individuals, education and businesses under 250 staff and USD 10 million revenue. Larger firms and government bodies need a paid subscription. Use Python packages, Colab or Podman.</w:t>
      </w:r>
    </w:p>
    <w:p>
      <w:pPr>
        <w:pStyle w:val="ListParagraph"/>
        <w:numPr>
          <w:ilvl w:val="0"/>
          <w:numId w:val="2"/>
        </w:numPr>
        <w:spacing w:after="60" w:line="264"/>
      </w:pPr>
      <w:r>
        <w:rPr>
          <w:rFonts w:ascii="Calibri" w:cs="Calibri" w:eastAsia="Calibri" w:hAnsi="Calibri"/>
          <w:b/>
          <w:bCs/>
          <w:color w:val="3B4046"/>
          <w:sz w:val="22"/>
          <w:szCs w:val="22"/>
        </w:rPr>
        <w:t xml:space="preserve">MinIO. </w:t>
      </w:r>
      <w:r>
        <w:rPr>
          <w:rFonts w:ascii="Calibri" w:cs="Calibri" w:eastAsia="Calibri" w:hAnsi="Calibri"/>
          <w:color w:val="3B4046"/>
          <w:sz w:val="22"/>
          <w:szCs w:val="22"/>
        </w:rPr>
        <w:t xml:space="preserve">Reported unmaintained or archived in 2026. Teach any S3-compatible object store.</w:t>
      </w:r>
    </w:p>
    <w:p>
      <w:pPr>
        <w:pStyle w:val="ListParagraph"/>
        <w:numPr>
          <w:ilvl w:val="0"/>
          <w:numId w:val="2"/>
        </w:numPr>
        <w:spacing w:after="60" w:line="264"/>
      </w:pPr>
      <w:r>
        <w:rPr>
          <w:rFonts w:ascii="Calibri" w:cs="Calibri" w:eastAsia="Calibri" w:hAnsi="Calibri"/>
          <w:b/>
          <w:bCs/>
          <w:color w:val="3B4046"/>
          <w:sz w:val="22"/>
          <w:szCs w:val="22"/>
        </w:rPr>
        <w:t xml:space="preserve">Soda Core 4 and Airbyte. </w:t>
      </w:r>
      <w:r>
        <w:rPr>
          <w:rFonts w:ascii="Calibri" w:cs="Calibri" w:eastAsia="Calibri" w:hAnsi="Calibri"/>
          <w:color w:val="3B4046"/>
          <w:sz w:val="22"/>
          <w:szCs w:val="22"/>
        </w:rPr>
        <w:t xml:space="preserve">Source-available under the Elastic License 2.0. Free to run internally and not open source.</w:t>
      </w:r>
    </w:p>
    <w:p>
      <w:pPr>
        <w:pStyle w:val="ListParagraph"/>
        <w:numPr>
          <w:ilvl w:val="0"/>
          <w:numId w:val="2"/>
        </w:numPr>
        <w:spacing w:after="60" w:line="264"/>
      </w:pPr>
      <w:r>
        <w:rPr>
          <w:rFonts w:ascii="Calibri" w:cs="Calibri" w:eastAsia="Calibri" w:hAnsi="Calibri"/>
          <w:b/>
          <w:bCs/>
          <w:color w:val="3B4046"/>
          <w:sz w:val="22"/>
          <w:szCs w:val="22"/>
        </w:rPr>
        <w:t xml:space="preserve">dbt v2. </w:t>
      </w:r>
      <w:r>
        <w:rPr>
          <w:rFonts w:ascii="Calibri" w:cs="Calibri" w:eastAsia="Calibri" w:hAnsi="Calibri"/>
          <w:color w:val="3B4046"/>
          <w:sz w:val="22"/>
          <w:szCs w:val="22"/>
        </w:rPr>
        <w:t xml:space="preserve">The free binary carries some proprietary code. Check which artefact is installed.</w:t>
      </w:r>
    </w:p>
    <w:p>
      <w:pPr>
        <w:pStyle w:val="ListParagraph"/>
        <w:numPr>
          <w:ilvl w:val="0"/>
          <w:numId w:val="2"/>
        </w:numPr>
        <w:spacing w:after="60" w:line="264"/>
      </w:pPr>
      <w:r>
        <w:rPr>
          <w:rFonts w:ascii="Calibri" w:cs="Calibri" w:eastAsia="Calibri" w:hAnsi="Calibri"/>
          <w:b/>
          <w:bCs/>
          <w:color w:val="3B4046"/>
          <w:sz w:val="22"/>
          <w:szCs w:val="22"/>
        </w:rPr>
        <w:t xml:space="preserve">Amundsen. </w:t>
      </w:r>
      <w:r>
        <w:rPr>
          <w:rFonts w:ascii="Calibri" w:cs="Calibri" w:eastAsia="Calibri" w:hAnsi="Calibri"/>
          <w:color w:val="3B4046"/>
          <w:sz w:val="22"/>
          <w:szCs w:val="22"/>
        </w:rPr>
        <w:t xml:space="preserve">Repository reported archived in September 2026.</w:t>
      </w:r>
    </w:p>
    <w:p>
      <w:pPr>
        <w:pStyle w:val="ListParagraph"/>
        <w:numPr>
          <w:ilvl w:val="0"/>
          <w:numId w:val="2"/>
        </w:numPr>
        <w:spacing w:after="60" w:line="264"/>
      </w:pPr>
      <w:r>
        <w:rPr>
          <w:rFonts w:ascii="Calibri" w:cs="Calibri" w:eastAsia="Calibri" w:hAnsi="Calibri"/>
          <w:b/>
          <w:bCs/>
          <w:color w:val="3B4046"/>
          <w:sz w:val="22"/>
          <w:szCs w:val="22"/>
        </w:rPr>
        <w:t xml:space="preserve">Metabase for embedding. </w:t>
      </w:r>
      <w:r>
        <w:rPr>
          <w:rFonts w:ascii="Calibri" w:cs="Calibri" w:eastAsia="Calibri" w:hAnsi="Calibri"/>
          <w:color w:val="3B4046"/>
          <w:sz w:val="22"/>
          <w:szCs w:val="22"/>
        </w:rPr>
        <w:t xml:space="preserve">The open edition is AGPLv3, and embedding needs a paid licence.</w:t>
      </w:r>
    </w:p>
    <w:p>
      <w:pPr>
        <w:pStyle w:val="ListParagraph"/>
        <w:numPr>
          <w:ilvl w:val="0"/>
          <w:numId w:val="2"/>
        </w:numPr>
        <w:spacing w:after="60" w:line="264"/>
      </w:pPr>
      <w:r>
        <w:rPr>
          <w:rFonts w:ascii="Calibri" w:cs="Calibri" w:eastAsia="Calibri" w:hAnsi="Calibri"/>
          <w:b/>
          <w:bCs/>
          <w:color w:val="3B4046"/>
          <w:sz w:val="22"/>
          <w:szCs w:val="22"/>
        </w:rPr>
        <w:t xml:space="preserve">Paid AI APIs and hosted inference. </w:t>
      </w:r>
      <w:r>
        <w:rPr>
          <w:rFonts w:ascii="Calibri" w:cs="Calibri" w:eastAsia="Calibri" w:hAnsi="Calibri"/>
          <w:color w:val="3B4046"/>
          <w:sz w:val="22"/>
          <w:szCs w:val="22"/>
        </w:rPr>
        <w:t xml:space="preserve">Any lab needing a key would break the no-cost rule, and documents would leave the organisation.</w:t>
      </w:r>
    </w:p>
    <w:p>
      <w:pPr>
        <w:pStyle w:val="Heading1"/>
        <w:spacing w:after="160" w:before="360"/>
      </w:pPr>
      <w:r>
        <w:rPr>
          <w:rFonts w:ascii="Cambria" w:cs="Cambria" w:eastAsia="Cambria" w:hAnsi="Cambria"/>
          <w:b/>
          <w:bCs/>
          <w:color w:val="1F2328"/>
          <w:sz w:val="36"/>
          <w:szCs w:val="36"/>
        </w:rPr>
        <w:t xml:space="preserve">How to check a licence</w:t>
      </w:r>
    </w:p>
    <w:p>
      <w:pPr>
        <w:spacing w:after="120" w:line="276"/>
      </w:pPr>
      <w:r>
        <w:rPr>
          <w:rFonts w:ascii="Calibri" w:cs="Calibri" w:eastAsia="Calibri" w:hAnsi="Calibri"/>
          <w:color w:val="3B4046"/>
          <w:sz w:val="22"/>
          <w:szCs w:val="22"/>
        </w:rPr>
        <w:t xml:space="preserve">Session 10 uses these three steps for every tool and model on the Licence Register.</w:t>
      </w:r>
    </w:p>
    <w:p>
      <w:pPr>
        <w:pStyle w:val="ListParagraph"/>
        <w:numPr>
          <w:ilvl w:val="0"/>
          <w:numId w:val="4"/>
        </w:numPr>
        <w:spacing w:after="60" w:line="264"/>
      </w:pPr>
      <w:r>
        <w:rPr>
          <w:rFonts w:ascii="Calibri" w:cs="Calibri" w:eastAsia="Calibri" w:hAnsi="Calibri"/>
          <w:color w:val="3B4046"/>
          <w:sz w:val="22"/>
          <w:szCs w:val="22"/>
        </w:rPr>
        <w:t xml:space="preserve">Open the tool's code repository and find the file named LICENSE or COPYING. For a model, open the model card. Read the file itself. A web page about the tool may be out of date.</w:t>
      </w:r>
    </w:p>
    <w:p>
      <w:pPr>
        <w:pStyle w:val="ListParagraph"/>
        <w:numPr>
          <w:ilvl w:val="0"/>
          <w:numId w:val="4"/>
        </w:numPr>
        <w:spacing w:after="60" w:line="264"/>
      </w:pPr>
      <w:r>
        <w:rPr>
          <w:rFonts w:ascii="Calibri" w:cs="Calibri" w:eastAsia="Calibri" w:hAnsi="Calibri"/>
          <w:color w:val="3B4046"/>
          <w:sz w:val="22"/>
          <w:szCs w:val="22"/>
        </w:rPr>
        <w:t xml:space="preserve">Find the licence name in the first lines, such as MIT, Apache-2.0, AGPL or Elastic License 2.0. Then read the README for extra terms, such as features that need a paid licence or limits on use. Different folders in one repository can carry different licences.</w:t>
      </w:r>
    </w:p>
    <w:p>
      <w:pPr>
        <w:pStyle w:val="ListParagraph"/>
        <w:numPr>
          <w:ilvl w:val="0"/>
          <w:numId w:val="4"/>
        </w:numPr>
        <w:spacing w:after="60" w:line="264"/>
      </w:pPr>
      <w:r>
        <w:rPr>
          <w:rFonts w:ascii="Calibri" w:cs="Calibri" w:eastAsia="Calibri" w:hAnsi="Calibri"/>
          <w:color w:val="3B4046"/>
          <w:sz w:val="22"/>
          <w:szCs w:val="22"/>
        </w:rPr>
        <w:t xml:space="preserve">Write the licence as the file gives it, where you read it, the date and your name in Licence Register.xlsx. Class it as open, source-available or restricted.</w:t>
      </w:r>
    </w:p>
    <w:p>
      <w:pPr>
        <w:pStyle w:val="Heading1"/>
        <w:spacing w:after="160" w:before="360"/>
      </w:pPr>
      <w:r>
        <w:rPr>
          <w:rFonts w:ascii="Cambria" w:cs="Cambria" w:eastAsia="Cambria" w:hAnsi="Cambria"/>
          <w:b/>
          <w:bCs/>
          <w:color w:val="1F2328"/>
          <w:sz w:val="36"/>
          <w:szCs w:val="36"/>
        </w:rPr>
        <w:t xml:space="preserve">A data protection note on your own documents</w:t>
      </w:r>
    </w:p>
    <w:p>
      <w:pPr>
        <w:spacing w:after="120" w:line="276"/>
      </w:pPr>
      <w:r>
        <w:rPr>
          <w:rFonts w:ascii="Calibri" w:cs="Calibri" w:eastAsia="Calibri" w:hAnsi="Calibri"/>
          <w:color w:val="3B4046"/>
          <w:sz w:val="22"/>
          <w:szCs w:val="22"/>
        </w:rPr>
        <w:t xml:space="preserve">This is a teaching summary and not legal advice.</w:t>
      </w:r>
    </w:p>
    <w:p>
      <w:pPr>
        <w:pStyle w:val="ListParagraph"/>
        <w:numPr>
          <w:ilvl w:val="0"/>
          <w:numId w:val="2"/>
        </w:numPr>
        <w:spacing w:after="60" w:line="264"/>
      </w:pPr>
      <w:r>
        <w:rPr>
          <w:rFonts w:ascii="Calibri" w:cs="Calibri" w:eastAsia="Calibri" w:hAnsi="Calibri"/>
          <w:color w:val="3B4046"/>
          <w:sz w:val="22"/>
          <w:szCs w:val="22"/>
        </w:rPr>
        <w:t xml:space="preserve">The Uganda Data Protection and Privacy Act, 2019 applies to anyone who collects, holds, processes or uses personal data in Uganda. Personal data includes names, phone numbers, identity numbers and health details. Kenya, Rwanda and Tanzania have their own laws, which Session 9 compares.</w:t>
      </w:r>
    </w:p>
    <w:p>
      <w:pPr>
        <w:pStyle w:val="ListParagraph"/>
        <w:numPr>
          <w:ilvl w:val="0"/>
          <w:numId w:val="2"/>
        </w:numPr>
        <w:spacing w:after="60" w:line="264"/>
      </w:pPr>
      <w:r>
        <w:rPr>
          <w:rFonts w:ascii="Calibri" w:cs="Calibri" w:eastAsia="Calibri" w:hAnsi="Calibri"/>
          <w:color w:val="3B4046"/>
          <w:sz w:val="22"/>
          <w:szCs w:val="22"/>
        </w:rPr>
        <w:t xml:space="preserve">Choose documents that hold no personal data. If a document has some, leave it out of your 50.</w:t>
      </w:r>
    </w:p>
    <w:p>
      <w:pPr>
        <w:pStyle w:val="ListParagraph"/>
        <w:numPr>
          <w:ilvl w:val="0"/>
          <w:numId w:val="2"/>
        </w:numPr>
        <w:spacing w:after="60" w:line="264"/>
      </w:pPr>
      <w:r>
        <w:rPr>
          <w:rFonts w:ascii="Calibri" w:cs="Calibri" w:eastAsia="Calibri" w:hAnsi="Calibri"/>
          <w:color w:val="3B4046"/>
          <w:sz w:val="22"/>
          <w:szCs w:val="22"/>
        </w:rPr>
        <w:t xml:space="preserve">Choose documents that are not confidential and that the owner has approved in writing.</w:t>
      </w:r>
    </w:p>
    <w:p>
      <w:pPr>
        <w:pStyle w:val="ListParagraph"/>
        <w:numPr>
          <w:ilvl w:val="0"/>
          <w:numId w:val="2"/>
        </w:numPr>
        <w:spacing w:after="60" w:line="264"/>
      </w:pPr>
      <w:r>
        <w:rPr>
          <w:rFonts w:ascii="Calibri" w:cs="Calibri" w:eastAsia="Calibri" w:hAnsi="Calibri"/>
          <w:color w:val="3B4046"/>
          <w:sz w:val="22"/>
          <w:szCs w:val="22"/>
        </w:rPr>
        <w:t xml:space="preserve">Keep your own documents on your laptop. Do not upload them to Colab, to a chat assistant or to the tutor. The team notebooks work on the Kitara files, which are fictional.</w:t>
      </w:r>
    </w:p>
    <w:p>
      <w:pPr>
        <w:pStyle w:val="ListParagraph"/>
        <w:numPr>
          <w:ilvl w:val="0"/>
          <w:numId w:val="2"/>
        </w:numPr>
        <w:spacing w:after="60" w:line="264"/>
      </w:pPr>
      <w:r>
        <w:rPr>
          <w:rFonts w:ascii="Calibri" w:cs="Calibri" w:eastAsia="Calibri" w:hAnsi="Calibri"/>
          <w:color w:val="3B4046"/>
          <w:sz w:val="22"/>
          <w:szCs w:val="22"/>
        </w:rPr>
        <w:t xml:space="preserve">Record what you learn from your documents in a spreadsheet, such as the format, the text quality and the version status. The spreadsheet holds summaries and no document text.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Enterprise Data Readiness for AI   Setup Guide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Guide</dc:title>
  <dc:creator>Jotham Martin Wambi</dc:creator>
  <cp:lastModifiedBy>Un-named</cp:lastModifiedBy>
  <cp:revision>1</cp:revision>
  <dcterms:created xsi:type="dcterms:W3CDTF">2026-10-29T13:40:24.371Z</dcterms:created>
  <dcterms:modified xsi:type="dcterms:W3CDTF">2026-10-29T13:40:24.371Z</dcterms:modified>
</cp:coreProperties>
</file>

<file path=docProps/custom.xml><?xml version="1.0" encoding="utf-8"?>
<Properties xmlns="http://schemas.openxmlformats.org/officeDocument/2006/custom-properties" xmlns:vt="http://schemas.openxmlformats.org/officeDocument/2006/docPropsVTypes"/>
</file>