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Applied AI and Automation</w:t>
      </w:r>
    </w:p>
    <w:p>
      <w:pPr>
        <w:pStyle w:val="Subtitle"/>
      </w:pPr>
      <w:r>
        <w:t>Executive learning through legal and tax work</w:t>
      </w:r>
    </w:p>
    <w:p>
      <w:r>
        <w:t>12 sessions of 2 hours • 24 hours total • flexible dates and frequency</w:t>
      </w:r>
    </w:p>
    <w:p>
      <w:r>
        <w:t>We will build a practical understanding of AI and machine learning, use and evaluate tools, and develop a proposal for a first organisational pilot. One fictional customer-side legal and tax matter connects the sessions. All required activities happen together in class; no homework is required.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9072"/>
      </w:tblGrid>
      <w:tr>
        <w:trPr>
          <w:cantSplit/>
          <w:tblHeader/>
        </w:trPr>
        <w:tc>
          <w:tcPr>
            <w:tcW w:type="dxa" w:w="864"/>
            <w:vAlign w:val="center"/>
            <w:shd w:fill="1C314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No.</w:t>
            </w:r>
          </w:p>
        </w:tc>
        <w:tc>
          <w:tcPr>
            <w:tcW w:type="dxa" w:w="9072"/>
            <w:vAlign w:val="center"/>
            <w:shd w:fill="1C3144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Focus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907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Understanding AI in the firm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90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How AI learns and represents information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907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How language models generate answers and fail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90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AI tools, effective instructions and safe use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907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Preparing the firm’s information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90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Internal knowledge search and retrieval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907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Legal research and deep research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90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Contract review and drafting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907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Automation and agentic AI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90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Tax evidence workflows and controlled actions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9072"/>
            <w:vAlign w:val="center"/>
            <w:shd w:fill="F2F5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Organisational risk and governance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907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Leading implementation and evaluating a pilot</w:t>
            </w:r>
          </w:p>
        </w:tc>
      </w:tr>
    </w:tbl>
    <w:p>
      <w:pPr>
        <w:spacing w:after="40"/>
      </w:pPr>
    </w:p>
    <w:p>
      <w:pPr>
        <w:pStyle w:val="Heading2"/>
      </w:pPr>
      <w:r>
        <w:t>What you will be able to do</w:t>
      </w:r>
    </w:p>
    <w:p>
      <w:r>
        <w:t>Explain core mechanisms and limitations; prepare and assess information; check research and contract outputs; distinguish workflows and agents; identify risks; and sponsor a bounded pilot using evidence, owners, costs and acceptance conditions.</w:t>
      </w:r>
    </w:p>
    <w:p>
      <w:pPr>
        <w:pStyle w:val="Heading2"/>
      </w:pPr>
      <w:r>
        <w:t>How we will work</w:t>
      </w:r>
    </w:p>
    <w:p>
      <w:r>
        <w:t>Short explanations and editable illustrations lead into guided demonstrations and changed-fact discussions. An entry/exit comparison and in-class explanations help us adjust the pace. Optional technical detail remains available after each session’s essential slides.</w:t>
      </w:r>
    </w:p>
    <w:p>
      <w:pPr>
        <w:pStyle w:val="Heading2"/>
      </w:pPr>
      <w:r>
        <w:t>Before we begin</w:t>
      </w:r>
    </w:p>
    <w:p>
      <w:r>
        <w:t>No coding prerequisite. Bring a laptop and access to one agreed AI assistant. I will confirm the available account and any builder access before class. We will use fictional and public material; production use and real client data require separate firm decisions.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KLAi Professional Learning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Applied AI and Automation</dc:title>
  <dc:subject/>
  <dc:creator>Jotham Martin Wambi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