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Facilitator Guide</w:t>
      </w:r>
    </w:p>
    <w:p>
      <w:pPr>
        <w:pStyle w:val="Subtitle"/>
      </w:pPr>
      <w:r>
        <w:t>Applied AI and Automation for legal and tax leadership</w:t>
      </w:r>
    </w:p>
    <w:p>
      <w:r>
        <w:t>I will teach through one fictional customer-side matter. We will build understanding, predict what a tool might do, inspect actual results and make a proposed firm decision. All required work happens in class. This guide is my teaching plan; the slide notes provide the explanation, question, expected response and help for a partly correct answer.</w:t>
      </w:r>
    </w:p>
    <w:p>
      <w:pPr>
        <w:pStyle w:val="Heading2"/>
      </w:pPr>
      <w:r>
        <w:t>The matter</w:t>
      </w:r>
    </w:p>
    <w:p>
      <w:r>
        <w:t>Kampala Legal and Tax acts for Victoria Services Ltd, the customer. Equator Systems Ltd, its service provider, proposes an internal group reorganisation. Victoria asks whether consent is required. A related team reviews Victoria’s September 2026 records. The firms, companies and client records are fictional.</w:t>
      </w:r>
    </w:p>
    <w:p>
      <w:pPr>
        <w:pStyle w:val="Heading2"/>
      </w:pPr>
      <w:r>
        <w:t>The teaching agreement</w:t>
      </w:r>
    </w:p>
    <w:p>
      <w:r>
        <w:t>I will distinguish the base reorganisation, Variant A share sale and Variant B assignment. The firm acts for Victoria, the customer. Unknown ownership facts and the missing signed schedule remain unknown. Public judgments concern different parties and must not be presented as deciding our fictional matter.</w:t>
      </w:r>
    </w:p>
    <w:p>
      <w:pPr>
        <w:pStyle w:val="Heading2"/>
      </w:pPr>
      <w:r>
        <w:t>Before we start</w:t>
      </w:r>
    </w:p>
    <w:p>
      <w:r>
        <w:t>Use the entry diagnostic before showing the explanations. Record reasons and misconceptions. Confirm the actual teaching account, test the selected demonstrations and save the observed outputs. Read Teaching Resources/Demonstration Preflight.txt. Prepared examples, local control simulations and real AI runs carry different labels.</w:t>
      </w:r>
    </w:p>
    <w:p>
      <w:pPr>
        <w:pStyle w:val="Heading2"/>
      </w:pPr>
      <w:r>
        <w:t>Pacing and optional content</w:t>
      </w:r>
    </w:p>
    <w:p>
      <w:r>
        <w:t>Each session has its own 120-minute plan, including a break and ten-minute buffer. Optional slides appear after the essential closing check and are marked in their footer. They are not required within two hours. Ask the written questions at the main teaching landmarks; do not turn every support slide into a separate discussion. If we need more time, agree it and revisit the point in class. No homework is required.</w:t>
      </w:r>
    </w:p>
    <w:p>
      <w:pPr>
        <w:pStyle w:val="Heading2"/>
      </w:pPr>
      <w:r>
        <w:t>Resources</w:t>
      </w:r>
    </w:p>
    <w:p>
      <w:r>
        <w:t>Learner Workbook contains working prompts, not the answer key. Teaching Resources/Expected Findings.txt gives authored model results and transfer answers. Actual saved tool outputs are separately labelled. Use the progress record to distinguish independent understanding from an explanation that needed support.</w:t>
      </w:r>
    </w:p>
    <w:p>
      <w:r>
        <w:br w:type="page"/>
      </w:r>
    </w:p>
    <w:p>
      <w:pPr>
        <w:pStyle w:val="Heading1"/>
      </w:pPr>
      <w:r>
        <w:t>Session 01 Understanding AI in the firm</w:t>
      </w:r>
    </w:p>
    <w:p>
      <w:r>
        <w:t>Which work suits AI, ordinary software or professional judgement?</w:t>
      </w:r>
    </w:p>
    <w:p>
      <w:pPr>
        <w:pStyle w:val="Heading2"/>
      </w:pPr>
      <w:r>
        <w:t>Result</w:t>
      </w:r>
    </w:p>
    <w:p>
      <w:r>
        <w:t>A baseline of understanding and one candidate firm task.</w:t>
      </w:r>
    </w:p>
    <w:p>
      <w:pPr>
        <w:pStyle w:val="Heading2"/>
      </w:pPr>
      <w:r>
        <w:t>Recall before explaining</w:t>
      </w:r>
    </w:p>
    <w:p>
      <w:r>
        <w:t>Name a task you trust AI with today and a task you would check.</w:t>
      </w:r>
    </w:p>
    <w:p>
      <w:r>
        <w:t>Expected: Any concrete example is acceptable; record the reason as a baseline.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3–11</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12–13,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One firm and one matter; The recurring information collection; AI systems; AI, analysis and learning.</w:t>
      </w:r>
    </w:p>
    <w:p>
      <w:r>
        <w:t>Slides 7–10: Generative AI; How the fields relate; Tasks in our matter; The model inside a working system.</w:t>
      </w:r>
    </w:p>
    <w:p>
      <w:r>
        <w:t>Slides 11–14: A rule and a learned prediction; The first contract question; A fluent answer and a supported answer; Our first information boundary.</w:t>
      </w:r>
    </w:p>
    <w:p>
      <w:r>
        <w:t>Slides 15: A first use-case choice.</w:t>
      </w:r>
    </w:p>
    <w:p>
      <w:r>
        <w:t>Optional after the closing check: slides 20–22. Use only for a useful question or agreed extra time.</w:t>
      </w:r>
    </w:p>
    <w:p>
      <w:r>
        <w:br w:type="page"/>
      </w:r>
    </w:p>
    <w:p>
      <w:pPr>
        <w:pStyle w:val="Heading1"/>
      </w:pPr>
      <w:r>
        <w:t>Session 01 Application and answers</w:t>
      </w:r>
    </w:p>
    <w:p>
      <w:pPr>
        <w:pStyle w:val="Heading2"/>
      </w:pPr>
      <w:r>
        <w:t>Demonstration and guided application</w:t>
      </w:r>
    </w:p>
    <w:p>
      <w:r>
        <w:t>1. Before showing the explanatory slides, use Entry and Exit Diagnostic.csv orally; record reasons, not only answers.</w:t>
      </w:r>
    </w:p>
    <w:p>
      <w:r>
        <w:t>2. Give the assistant the current clause and ask the consent question; retain its actual response, whether correct or incorrect.</w:t>
      </w:r>
    </w:p>
    <w:p>
      <w:r>
        <w:t>3. Compare the response with the source. Use the labelled flawed example only if needed to examine the exception.</w:t>
      </w:r>
    </w:p>
    <w:p>
      <w:r>
        <w:t>4. Map one current firm task to its mechanism, evidence and proposed success test.</w:t>
      </w:r>
    </w:p>
    <w:p>
      <w:pPr>
        <w:pStyle w:val="Heading2"/>
      </w:pPr>
      <w:r>
        <w:t>A good result contains</w:t>
      </w:r>
    </w:p>
    <w:p>
      <w:r>
        <w:t>Calculation, learned classification, retrieval and drafting are different operations. The base facts do not establish every exception condition. A pilot needs an owner, permitted evidence and a task-specific test.</w:t>
      </w:r>
    </w:p>
    <w:p>
      <w:pPr>
        <w:pStyle w:val="Heading2"/>
      </w:pPr>
      <w:r>
        <w:t>Transfer questions before showing the key</w:t>
      </w:r>
    </w:p>
    <w:p>
      <w:pPr>
        <w:pStyle w:val="ListBullet"/>
      </w:pPr>
      <w:r>
        <w:t>A fixed date needs a reminder. Would you train a model?</w:t>
      </w:r>
    </w:p>
    <w:p>
      <w:pPr>
        <w:pStyle w:val="ListBullet"/>
      </w:pPr>
      <w:r>
        <w:t>A draft quotes the contract but omits the exception. Is it usable?</w:t>
      </w:r>
    </w:p>
    <w:p>
      <w:pPr>
        <w:pStyle w:val="ListBullet"/>
      </w:pPr>
      <w:r>
        <w:t>Name one source owner for the candidate task.</w:t>
      </w:r>
    </w:p>
    <w:p>
      <w:r>
        <w:t>Expected: Use a maintained date and rule. The omitted operative exception fails completeness. Identify the actual or proposed matter/source owner.</w:t>
      </w:r>
    </w:p>
    <w:p>
      <w:pPr>
        <w:pStyle w:val="Heading2"/>
      </w:pPr>
      <w:r>
        <w:t>Misconceptions to watch for</w:t>
      </w:r>
    </w:p>
    <w:p>
      <w:r>
        <w:t>AI means ChatGPT: Use the task map: arithmetic, classification, retrieval and generation need different mechanisms.</w:t>
      </w:r>
    </w:p>
    <w:p>
      <w:r>
        <w:t>A fluent answer is sufficient: Read the two consent answers beside the complete clause; identify the missing exception.</w:t>
      </w:r>
    </w:p>
    <w:p>
      <w:r>
        <w:t>Internal always means exempt: Ask for ownership and continued responsibility; the base facts do not establish both.</w:t>
      </w:r>
    </w:p>
    <w:p>
      <w:pPr>
        <w:pStyle w:val="Heading2"/>
      </w:pPr>
      <w:r>
        <w:t>Decision and recovery</w:t>
      </w:r>
    </w:p>
    <w:p>
      <w:r>
        <w:t>Select one task to investigate and record its present process, source owner and uncertainty.</w:t>
      </w:r>
    </w:p>
    <w:p>
      <w:r>
        <w:t>An opening demonstration and an entry diagnostic do not establish production reliability.</w:t>
      </w:r>
    </w:p>
    <w:p>
      <w:r>
        <w:t>If the connected tool is unavailable, use the labelled example, mark that step unexecuted and preserve time for the explanation. The preflight file names the account-dependent tasks.</w:t>
      </w:r>
    </w:p>
    <w:p>
      <w:pPr>
        <w:pStyle w:val="Heading2"/>
      </w:pPr>
      <w:r>
        <w:t>Open before class</w:t>
      </w:r>
    </w:p>
    <w:p>
      <w:r>
        <w:t>01 Matter and Sources/Matter Brief.txt; 01 Matter and Sources/Contract - Executed v2.txt; 01 Matter and Sources/Client Instruction.txt; 05 Firm Adoption/Entry and Exit Diagnostic.csv</w:t>
      </w:r>
    </w:p>
    <w:p>
      <w:r>
        <w:br w:type="page"/>
      </w:r>
    </w:p>
    <w:p>
      <w:pPr>
        <w:pStyle w:val="Heading1"/>
      </w:pPr>
      <w:r>
        <w:t>Session 02 How AI learns and represents information</w:t>
      </w:r>
    </w:p>
    <w:p>
      <w:r>
        <w:t>What is learned from examples, and how can language be represented numerically?</w:t>
      </w:r>
    </w:p>
    <w:p>
      <w:pPr>
        <w:pStyle w:val="Heading2"/>
      </w:pPr>
      <w:r>
        <w:t>Result</w:t>
      </w:r>
    </w:p>
    <w:p>
      <w:r>
        <w:t>An explanation of training, inference, tokens and similarity using the same matter.</w:t>
      </w:r>
    </w:p>
    <w:p>
      <w:pPr>
        <w:pStyle w:val="Heading2"/>
      </w:pPr>
      <w:r>
        <w:t>Recall before explaining</w:t>
      </w:r>
    </w:p>
    <w:p>
      <w:r>
        <w:t>An assistant totals invoices and drafts a letter. Which operation needs learned generation?</w:t>
      </w:r>
    </w:p>
    <w:p>
      <w:r>
        <w:t>Expected: The letter uses generation; the total should use defined arithmetic.</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45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3–15</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task before the model; Training; The learning loop; Learning approaches.</w:t>
      </w:r>
    </w:p>
    <w:p>
      <w:r>
        <w:t>Slides 7–10: Training and evaluation collections; Layers learn representations; Token; Embedding.</w:t>
      </w:r>
    </w:p>
    <w:p>
      <w:r>
        <w:t>Slides 11–14: A simplified map of related language; Many dimensions and a flat picture; Context changes the representation; Similarity and legal meaning.</w:t>
      </w:r>
    </w:p>
    <w:p>
      <w:r>
        <w:t>Slides 15: How a language model develops.</w:t>
      </w:r>
    </w:p>
    <w:p>
      <w:r>
        <w:t>Optional after the closing check: slides 20–25. Use only for a useful question or agreed extra time.</w:t>
      </w:r>
    </w:p>
    <w:p>
      <w:r>
        <w:br w:type="page"/>
      </w:r>
    </w:p>
    <w:p>
      <w:pPr>
        <w:pStyle w:val="Heading1"/>
      </w:pPr>
      <w:r>
        <w:t>Session 02 Application and answers</w:t>
      </w:r>
    </w:p>
    <w:p>
      <w:pPr>
        <w:pStyle w:val="Heading2"/>
      </w:pPr>
      <w:r>
        <w:t>Demonstration and guided application</w:t>
      </w:r>
    </w:p>
    <w:p>
      <w:r>
        <w:t>1. Sort six short document descriptions by type before discussing how training labels would be assigned.</w:t>
      </w:r>
    </w:p>
    <w:p>
      <w:r>
        <w:t>2. Follow one numerical representation through the labelled network; distinguish learned parameters from today’s input.</w:t>
      </w:r>
    </w:p>
    <w:p>
      <w:r>
        <w:t>3. Place a restructuring query beside relevant and irrelevant clause candidates on the similarity map.</w:t>
      </w:r>
    </w:p>
    <w:p>
      <w:r>
        <w:t>4. Test the misconception: uploading an agreement is the same thing as training the model.</w:t>
      </w:r>
    </w:p>
    <w:p>
      <w:pPr>
        <w:pStyle w:val="Heading2"/>
      </w:pPr>
      <w:r>
        <w:t>A good result contains</w:t>
      </w:r>
    </w:p>
    <w:p>
      <w:r>
        <w:t>Training adjusts parameters; inference uses them. Tokens are input units; embeddings are numerical representations. Similarity proposes candidates and does not decide legal equivalence.</w:t>
      </w:r>
    </w:p>
    <w:p>
      <w:pPr>
        <w:pStyle w:val="Heading2"/>
      </w:pPr>
      <w:r>
        <w:t>Transfer questions before showing the key</w:t>
      </w:r>
    </w:p>
    <w:p>
      <w:pPr>
        <w:pStyle w:val="ListBullet"/>
      </w:pPr>
      <w:r>
        <w:t>Does a token ID near another token ID establish similar meaning?</w:t>
      </w:r>
    </w:p>
    <w:p>
      <w:pPr>
        <w:pStyle w:val="ListBullet"/>
      </w:pPr>
      <w:r>
        <w:t>Why can charge mean security in one sentence and accusation in another?</w:t>
      </w:r>
    </w:p>
    <w:p>
      <w:pPr>
        <w:pStyle w:val="ListBullet"/>
      </w:pPr>
      <w:r>
        <w:t>What changes during training rather than ordinary inference?</w:t>
      </w:r>
    </w:p>
    <w:p>
      <w:r>
        <w:t>Expected: IDs are identifiers, not a distance metric. Context changes the representation. Training adjusts parameters; ordinary inference uses them.</w:t>
      </w:r>
    </w:p>
    <w:p>
      <w:pPr>
        <w:pStyle w:val="Heading2"/>
      </w:pPr>
      <w:r>
        <w:t>Misconceptions to watch for</w:t>
      </w:r>
    </w:p>
    <w:p>
      <w:r>
        <w:t>Near token IDs mean similar words: Change arbitrary IDs without changing words, then return to numerical representations.</w:t>
      </w:r>
    </w:p>
    <w:p>
      <w:r>
        <w:t>Uploading is training: Separate a parameter update from supplying today’s evidence during inference.</w:t>
      </w:r>
    </w:p>
    <w:p>
      <w:r>
        <w:t>Similar clauses have identical legal effect: Change not to its opposite and inspect meaning despite similar vocabulary.</w:t>
      </w:r>
    </w:p>
    <w:p>
      <w:pPr>
        <w:pStyle w:val="Heading2"/>
      </w:pPr>
      <w:r>
        <w:t>Decision and recovery</w:t>
      </w:r>
    </w:p>
    <w:p>
      <w:r>
        <w:t>Require vendors to explain training, source access and evaluation as separate matters.</w:t>
      </w:r>
    </w:p>
    <w:p>
      <w:r>
        <w:t>The visual coordinates and neural values are illustrative, not measurements from a deployed model.</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Retrieval/Language Representation Exercise.txt; 01 Matter and Sources/Contract - Executed v2.txt; 02 Data and Retrieval/Concept Transfer Checks.txt</w:t>
      </w:r>
    </w:p>
    <w:p>
      <w:r>
        <w:br w:type="page"/>
      </w:r>
    </w:p>
    <w:p>
      <w:pPr>
        <w:pStyle w:val="Heading1"/>
      </w:pPr>
      <w:r>
        <w:t>Session 03 How language models generate answers and fail</w:t>
      </w:r>
    </w:p>
    <w:p>
      <w:r>
        <w:t>Why can a fluent answer vary, omit evidence or invent a fact?</w:t>
      </w:r>
    </w:p>
    <w:p>
      <w:pPr>
        <w:pStyle w:val="Heading2"/>
      </w:pPr>
      <w:r>
        <w:t>Result</w:t>
      </w:r>
    </w:p>
    <w:p>
      <w:r>
        <w:t>An observed reliability comparison and a practical verification routine.</w:t>
      </w:r>
    </w:p>
    <w:p>
      <w:pPr>
        <w:pStyle w:val="Heading2"/>
      </w:pPr>
      <w:r>
        <w:t>Recall before explaining</w:t>
      </w:r>
    </w:p>
    <w:p>
      <w:r>
        <w:t>We upload a new clause today. Which learned parameters must change?</w:t>
      </w:r>
    </w:p>
    <w:p>
      <w:r>
        <w:t>Expected: None necessarily. The clause can be supplied as inference context.</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3–12</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13, 15</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14–15</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16–18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From a prompt to a response; Predicting the next token; The response grows one token at a time; Selection and variation.</w:t>
      </w:r>
    </w:p>
    <w:p>
      <w:r>
        <w:t>Slides 7–10: The context window; Context capacity and evidence use; Attention connects relevant context; Hallucination.</w:t>
      </w:r>
    </w:p>
    <w:p>
      <w:r>
        <w:t>Slides 11–14: What improves the answer; Text, images and documents; Our three reliability experiments; Model and workflow cost.</w:t>
      </w:r>
    </w:p>
    <w:p>
      <w:r>
        <w:br w:type="page"/>
      </w:r>
    </w:p>
    <w:p>
      <w:pPr>
        <w:pStyle w:val="Heading1"/>
      </w:pPr>
      <w:r>
        <w:t>Session 03 Application and answers</w:t>
      </w:r>
    </w:p>
    <w:p>
      <w:pPr>
        <w:pStyle w:val="Heading2"/>
      </w:pPr>
      <w:r>
        <w:t>Demonstration and guided application</w:t>
      </w:r>
    </w:p>
    <w:p>
      <w:r>
        <w:t>1. Predict which parts of an answer might vary and run the same fictional-source task in three new chats.</w:t>
      </w:r>
    </w:p>
    <w:p>
      <w:r>
        <w:t>2. Compare the long-agreement result with the focused evidence; retain both outputs.</w:t>
      </w:r>
    </w:p>
    <w:p>
      <w:r>
        <w:t>3. Ask for an absent fee; inspect whether the assistant acknowledges the gap.</w:t>
      </w:r>
    </w:p>
    <w:p>
      <w:r>
        <w:t>4. Score source fidelity and completeness separately from writing quality; record what was actually observed.</w:t>
      </w:r>
    </w:p>
    <w:p>
      <w:pPr>
        <w:pStyle w:val="Heading2"/>
      </w:pPr>
      <w:r>
        <w:t>A good result contains</w:t>
      </w:r>
    </w:p>
    <w:p>
      <w:r>
        <w:t>Generation selects tokens conditioned on context. Responses can vary. Matching answers still need evidence checks. A larger context or reasoning mode does not remove that need.</w:t>
      </w:r>
    </w:p>
    <w:p>
      <w:pPr>
        <w:pStyle w:val="Heading2"/>
      </w:pPr>
      <w:r>
        <w:t>Transfer questions before showing the key</w:t>
      </w:r>
    </w:p>
    <w:p>
      <w:pPr>
        <w:pStyle w:val="ListBullet"/>
      </w:pPr>
      <w:r>
        <w:t>The document never supplies a renewal fee. What should the answer say?</w:t>
      </w:r>
    </w:p>
    <w:p>
      <w:pPr>
        <w:pStyle w:val="ListBullet"/>
      </w:pPr>
      <w:r>
        <w:t>A longer context window includes the clause. Is the conclusion guaranteed?</w:t>
      </w:r>
    </w:p>
    <w:p>
      <w:pPr>
        <w:pStyle w:val="ListBullet"/>
      </w:pPr>
      <w:r>
        <w:t>Three identical responses appear. What is the remaining verification?</w:t>
      </w:r>
    </w:p>
    <w:p>
      <w:r>
        <w:t>Expected: State the missing fee and request the source. Capacity is not faithful use. Compare the proposition with the authoritative text and facts.</w:t>
      </w:r>
    </w:p>
    <w:p>
      <w:pPr>
        <w:pStyle w:val="Heading2"/>
      </w:pPr>
      <w:r>
        <w:t>Misconceptions to watch for</w:t>
      </w:r>
    </w:p>
    <w:p>
      <w:r>
        <w:t>A 70% token score is 70% truth: The invented chart predicts a continuation, not the correctness of advice.</w:t>
      </w:r>
    </w:p>
    <w:p>
      <w:r>
        <w:t>More context guarantees accuracy: Compare the complete source with the actual answer and inspect the missing-fee test.</w:t>
      </w:r>
    </w:p>
    <w:p>
      <w:r>
        <w:t>Three models agreeing is verification: Open the authoritative passage; repeated assertions do not supply an absent fee.</w:t>
      </w:r>
    </w:p>
    <w:p>
      <w:pPr>
        <w:pStyle w:val="Heading2"/>
      </w:pPr>
      <w:r>
        <w:t>Decision and recovery</w:t>
      </w:r>
    </w:p>
    <w:p>
      <w:r>
        <w:t>Require source checking and measured review effort before relying on a workflow.</w:t>
      </w:r>
    </w:p>
    <w:p>
      <w:r>
        <w:t>The diagram uses invented probabilities; actual model behaviour and interface controls vary.</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Review/Generation Experiments.txt; 01 Matter and Sources/Long Agreement - Executed v2.txt; 03 Research and Review/Generation Run Record.csv; 05 Firm Adoption/Cost and Effort Example.csv</w:t>
      </w:r>
    </w:p>
    <w:p>
      <w:r>
        <w:br w:type="page"/>
      </w:r>
    </w:p>
    <w:p>
      <w:pPr>
        <w:pStyle w:val="Heading1"/>
      </w:pPr>
      <w:r>
        <w:t>Session 04 AI tools, effective instructions and safe use</w:t>
      </w:r>
    </w:p>
    <w:p>
      <w:r>
        <w:t>How do we select a tool, brief it clearly and verify a useful result?</w:t>
      </w:r>
    </w:p>
    <w:p>
      <w:pPr>
        <w:pStyle w:val="Heading2"/>
      </w:pPr>
      <w:r>
        <w:t>Result</w:t>
      </w:r>
    </w:p>
    <w:p>
      <w:r>
        <w:t>A reusable review brief and a documented tool/data decision.</w:t>
      </w:r>
    </w:p>
    <w:p>
      <w:pPr>
        <w:pStyle w:val="Heading2"/>
      </w:pPr>
      <w:r>
        <w:t>Recall before explaining</w:t>
      </w:r>
    </w:p>
    <w:p>
      <w:r>
        <w:t>Three assistants repeat the same unsupported fee. What has been established?</w:t>
      </w:r>
    </w:p>
    <w:p>
      <w:r>
        <w:t>Expected: Agreement, not the fee; the signed source is still absent.</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same question in different products; The tool landscape; Before using a real matter; A vague request and a clear brief.</w:t>
      </w:r>
    </w:p>
    <w:p>
      <w:r>
        <w:t>Slides 7–10: A professional task brief; An instruction we can reuse; Traceability for a finding; A citation and its supporting passage.</w:t>
      </w:r>
    </w:p>
    <w:p>
      <w:r>
        <w:t>Slides 11–14: The instruction and review cycle; Human review begins here; Catching generic AI writing; A small evaluation.</w:t>
      </w:r>
    </w:p>
    <w:p>
      <w:r>
        <w:t>Slides 15: Questions for a vendor.</w:t>
      </w:r>
    </w:p>
    <w:p>
      <w:r>
        <w:t>Optional after the closing check: slides 20–24. Use only for a useful question or agreed extra time.</w:t>
      </w:r>
    </w:p>
    <w:p>
      <w:r>
        <w:br w:type="page"/>
      </w:r>
    </w:p>
    <w:p>
      <w:pPr>
        <w:pStyle w:val="Heading1"/>
      </w:pPr>
      <w:r>
        <w:t>Session 04 Application and answers</w:t>
      </w:r>
    </w:p>
    <w:p>
      <w:pPr>
        <w:pStyle w:val="Heading2"/>
      </w:pPr>
      <w:r>
        <w:t>Demonstration and guided application</w:t>
      </w:r>
    </w:p>
    <w:p>
      <w:r>
        <w:t>1. Inspect the actual account type and record unanswered data-use questions without entering client data.</w:t>
      </w:r>
    </w:p>
    <w:p>
      <w:r>
        <w:t>2. Run the vague request, then the professional brief using the same fictional clause and evidence.</w:t>
      </w:r>
    </w:p>
    <w:p>
      <w:r>
        <w:t>3. Change to Variant A: an unrelated buyer acquires control of Equator; the exception does not apply.</w:t>
      </w:r>
    </w:p>
    <w:p>
      <w:r>
        <w:t>4. Review the response against the rubric and record a procurement question the demo cannot answer.</w:t>
      </w:r>
    </w:p>
    <w:p>
      <w:pPr>
        <w:pStyle w:val="Heading2"/>
      </w:pPr>
      <w:r>
        <w:t>A good result contains</w:t>
      </w:r>
    </w:p>
    <w:p>
      <w:r>
        <w:t>For Variant A, the wholly-owned-group exception does not apply and clause 3 requires prior written customer consent. A useful brief specifies sources, task, output, gaps and review. Data terms require account-specific inspection.</w:t>
      </w:r>
    </w:p>
    <w:p>
      <w:pPr>
        <w:pStyle w:val="Heading2"/>
      </w:pPr>
      <w:r>
        <w:t>Transfer questions before showing the key</w:t>
      </w:r>
    </w:p>
    <w:p>
      <w:pPr>
        <w:pStyle w:val="ListBullet"/>
      </w:pPr>
      <w:r>
        <w:t>An unrelated buyer acquires control of Equator. Does clause 3’s group exception apply?</w:t>
      </w:r>
    </w:p>
    <w:p>
      <w:pPr>
        <w:pStyle w:val="ListBullet"/>
      </w:pPr>
      <w:r>
        <w:t>The account is paid. May the firm upload any matter?</w:t>
      </w:r>
    </w:p>
    <w:p>
      <w:pPr>
        <w:pStyle w:val="ListBullet"/>
      </w:pPr>
      <w:r>
        <w:t>A prompt requests a citation. What makes it useful?</w:t>
      </w:r>
    </w:p>
    <w:p>
      <w:r>
        <w:t>Expected: The stipulated share sale is outside the group exception, so prior written customer consent is required. Price does not settle permission. Check the exact passage, authority, version and fit.</w:t>
      </w:r>
    </w:p>
    <w:p>
      <w:pPr>
        <w:pStyle w:val="Heading2"/>
      </w:pPr>
      <w:r>
        <w:t>Misconceptions to watch for</w:t>
      </w:r>
    </w:p>
    <w:p>
      <w:r>
        <w:t>A paid plan permits client data: Inspect the actual account terms, processing and firm authority separately.</w:t>
      </w:r>
    </w:p>
    <w:p>
      <w:r>
        <w:t>A citation proves the finding: Read the supporting passage and check its role, edition and qualification.</w:t>
      </w:r>
    </w:p>
    <w:p>
      <w:r>
        <w:t>A better prompt repairs a missing source: Ask which signed document establishes the claim; request it if absent.</w:t>
      </w:r>
    </w:p>
    <w:p>
      <w:pPr>
        <w:pStyle w:val="Heading2"/>
      </w:pPr>
      <w:r>
        <w:t>Decision and recovery</w:t>
      </w:r>
    </w:p>
    <w:p>
      <w:r>
        <w:t>Evaluate one available tool on a permitted task before selecting a subscription or integration.</w:t>
      </w:r>
    </w:p>
    <w:p>
      <w:r>
        <w:t>A tiny class comparison does not rank providers or authorise use of a real client matter.</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Review/Review Instruction.txt; 01 Matter and Sources/Transaction Variants.txt; 01 Matter and Sources/Contract - Executed v2.txt; 05 Firm Adoption/Vendor Due Diligence.csv</w:t>
      </w:r>
    </w:p>
    <w:p>
      <w:r>
        <w:br w:type="page"/>
      </w:r>
    </w:p>
    <w:p>
      <w:pPr>
        <w:pStyle w:val="Heading1"/>
      </w:pPr>
      <w:r>
        <w:t>Session 05 Preparing the firm’s information</w:t>
      </w:r>
    </w:p>
    <w:p>
      <w:r>
        <w:t>What does the firm hold, and what must happen before AI can use it reliably?</w:t>
      </w:r>
    </w:p>
    <w:p>
      <w:pPr>
        <w:pStyle w:val="Heading2"/>
      </w:pPr>
      <w:r>
        <w:t>Result</w:t>
      </w:r>
    </w:p>
    <w:p>
      <w:r>
        <w:t>A source inventory and an inspected extraction with provenance.</w:t>
      </w:r>
    </w:p>
    <w:p>
      <w:pPr>
        <w:pStyle w:val="Heading2"/>
      </w:pPr>
      <w:r>
        <w:t>Recall before explaining</w:t>
      </w:r>
    </w:p>
    <w:p>
      <w:r>
        <w:t>The instruction asks for exact quotes. What if the input scan loses a word?</w:t>
      </w:r>
    </w:p>
    <w:p>
      <w:r>
        <w:t>Expected: Good instructions cannot recover an unknown missing word reliably; inspect the source.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records room and the shared drive; Four dimensions of information; A searchable PDF and a page image; What the firm needs to know about each source.</w:t>
      </w:r>
    </w:p>
    <w:p>
      <w:r>
        <w:t>Slides 7–10: A sample inventory; The document preparation pipeline; OCR and structured extraction; OCR and document layout.</w:t>
      </w:r>
    </w:p>
    <w:p>
      <w:r>
        <w:t>Slides 11–14: An extraction error with legal consequences; A source comparison on screen; A document quality record; Machine-readable representations.</w:t>
      </w:r>
    </w:p>
    <w:p>
      <w:r>
        <w:t>Slides 15–16: One clause in structured form; Permissions through the pipeline.</w:t>
      </w:r>
    </w:p>
    <w:p>
      <w:r>
        <w:t>Optional after the closing check: slides 21–24. Use only for a useful question or agreed extra time.</w:t>
      </w:r>
    </w:p>
    <w:p>
      <w:r>
        <w:br w:type="page"/>
      </w:r>
    </w:p>
    <w:p>
      <w:pPr>
        <w:pStyle w:val="Heading1"/>
      </w:pPr>
      <w:r>
        <w:t>Session 05 Application and answers</w:t>
      </w:r>
    </w:p>
    <w:p>
      <w:pPr>
        <w:pStyle w:val="Heading2"/>
      </w:pPr>
      <w:r>
        <w:t>Demonstration and guided application</w:t>
      </w:r>
    </w:p>
    <w:p>
      <w:r>
        <w:t>1. Complete one inventory row per actual system discussed, without recording client identities.</w:t>
      </w:r>
    </w:p>
    <w:p>
      <w:r>
        <w:t>2. Compare an authored page, its synthetic degraded scan and a real OCR or multimodal extraction.</w:t>
      </w:r>
    </w:p>
    <w:p>
      <w:r>
        <w:t>3. Mark omissions against the original; keep the constructed damaged extract labelled as a separate exercise.</w:t>
      </w:r>
    </w:p>
    <w:p>
      <w:r>
        <w:t>4. Record version, location, access and correction status in the document quality record.</w:t>
      </w:r>
    </w:p>
    <w:p>
      <w:pPr>
        <w:pStyle w:val="Heading2"/>
      </w:pPr>
      <w:r>
        <w:t>A good result contains</w:t>
      </w:r>
    </w:p>
    <w:p>
      <w:r>
        <w:t>A system, modality, structure and format describe different properties. Extraction must preserve the negation, exception and qualification. Preserve originals and source/access metadata through conversion.</w:t>
      </w:r>
    </w:p>
    <w:p>
      <w:pPr>
        <w:pStyle w:val="Heading2"/>
      </w:pPr>
      <w:r>
        <w:t>Transfer questions before showing the key</w:t>
      </w:r>
    </w:p>
    <w:p>
      <w:pPr>
        <w:pStyle w:val="ListBullet"/>
      </w:pPr>
      <w:r>
        <w:t>The scan says shall not disclose; extraction says shall disclose. Which stage failed?</w:t>
      </w:r>
    </w:p>
    <w:p>
      <w:pPr>
        <w:pStyle w:val="ListBullet"/>
      </w:pPr>
      <w:r>
        <w:t>The text is accurate but the matter tag is wrong. What risk remains?</w:t>
      </w:r>
    </w:p>
    <w:p>
      <w:pPr>
        <w:pStyle w:val="ListBullet"/>
      </w:pPr>
      <w:r>
        <w:t>Which record preserves correction history?</w:t>
      </w:r>
    </w:p>
    <w:p>
      <w:r>
        <w:t>Expected: Extraction reversed meaning. Wrong metadata can expose or retrieve the wrong matter. Keep a source-linked quality/correction record and retest derived content.</w:t>
      </w:r>
    </w:p>
    <w:p>
      <w:pPr>
        <w:pStyle w:val="Heading2"/>
      </w:pPr>
      <w:r>
        <w:t>Misconceptions to watch for</w:t>
      </w:r>
    </w:p>
    <w:p>
      <w:r>
        <w:t>A PDF is necessarily searchable text: Compare the page image and encoded text, then inspect the observed OCR.</w:t>
      </w:r>
    </w:p>
    <w:p>
      <w:r>
        <w:t>OCR success means complete extraction: Check the negation, exception, layout and source location independently.</w:t>
      </w:r>
    </w:p>
    <w:p>
      <w:r>
        <w:t>Metadata is administrative only: Mis-tag a matter in discussion and ask which user might receive the wrong passage.</w:t>
      </w:r>
    </w:p>
    <w:p>
      <w:pPr>
        <w:pStyle w:val="Heading2"/>
      </w:pPr>
      <w:r>
        <w:t>Decision and recovery</w:t>
      </w:r>
    </w:p>
    <w:p>
      <w:r>
        <w:t>Assign source owners and choose one collection for preparation before buying a search layer.</w:t>
      </w:r>
    </w:p>
    <w:p>
      <w:r>
        <w:t>A synthetic scan can test a method but does not establish extraction quality on the firm’s archive.</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Retrieval/Information Inventory.csv; 02 Data and Retrieval/Document Quality Record.csv; 02 Data and Retrieval/Extraction Run Record.csv; 02 Data and Retrieval/Clause Record.json; 02 Data and Retrieval/Damaged Contract Extract.txt</w:t>
      </w:r>
    </w:p>
    <w:p>
      <w:r>
        <w:br w:type="page"/>
      </w:r>
    </w:p>
    <w:p>
      <w:pPr>
        <w:pStyle w:val="Heading1"/>
      </w:pPr>
      <w:r>
        <w:t>Session 06 Internal knowledge search and retrieval</w:t>
      </w:r>
    </w:p>
    <w:p>
      <w:r>
        <w:t>How does the assistant find current permitted evidence and use it faithfully?</w:t>
      </w:r>
    </w:p>
    <w:p>
      <w:pPr>
        <w:pStyle w:val="Heading2"/>
      </w:pPr>
      <w:r>
        <w:t>Result</w:t>
      </w:r>
    </w:p>
    <w:p>
      <w:r>
        <w:t>A scored retrieval test and a source-linked answer.</w:t>
      </w:r>
    </w:p>
    <w:p>
      <w:pPr>
        <w:pStyle w:val="Heading2"/>
      </w:pPr>
      <w:r>
        <w:t>Recall before explaining</w:t>
      </w:r>
    </w:p>
    <w:p>
      <w:r>
        <w:t>Two readable versions exist. What must retrieval know beyond the text?</w:t>
      </w:r>
    </w:p>
    <w:p>
      <w:r>
        <w:t>Expected: Which version is authoritative, its matter, permissions and update status.</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question returns; Search results and generated answers; RAG; Two phases of a retrieval system.</w:t>
      </w:r>
    </w:p>
    <w:p>
      <w:r>
        <w:t>Slides 7–10: Chunking and the exception; What a chunk should retain; Keyword and semantic search; Hybrid retrieval.</w:t>
      </w:r>
    </w:p>
    <w:p>
      <w:r>
        <w:t>Slides 11–14: A prepared retrieval trace; The answer and its evidence; A source error and an answer error; Access-aware retrieval.</w:t>
      </w:r>
    </w:p>
    <w:p>
      <w:r>
        <w:t>Slides 15–16: Tests for the firm assistant; How the collection stays useful.</w:t>
      </w:r>
    </w:p>
    <w:p>
      <w:r>
        <w:t>Optional after the closing check: slides 21–24. Use only for a useful question or agreed extra time.</w:t>
      </w:r>
    </w:p>
    <w:p>
      <w:r>
        <w:br w:type="page"/>
      </w:r>
    </w:p>
    <w:p>
      <w:pPr>
        <w:pStyle w:val="Heading1"/>
      </w:pPr>
      <w:r>
        <w:t>Session 06 Application and answers</w:t>
      </w:r>
    </w:p>
    <w:p>
      <w:pPr>
        <w:pStyle w:val="Heading2"/>
      </w:pPr>
      <w:r>
        <w:t>Demonstration and guided application</w:t>
      </w:r>
    </w:p>
    <w:p>
      <w:r>
        <w:t>1. Inspect the 40-document synthetic library manifest and choose the current M-01 agreement.</w:t>
      </w:r>
    </w:p>
    <w:p>
      <w:r>
        <w:t>2. Run a supported connected search if available; otherwise use the local lexical-search demonstrator, accurately labelled.</w:t>
      </w:r>
    </w:p>
    <w:p>
      <w:r>
        <w:t>3. Test source version, missing answer, preserved exception and access boundaries with the scoring sheet.</w:t>
      </w:r>
    </w:p>
    <w:p>
      <w:r>
        <w:t>4. Record actual retrieved IDs and answers separately; compare with the reference, never relabel a prepared trace as a run.</w:t>
      </w:r>
    </w:p>
    <w:p>
      <w:pPr>
        <w:pStyle w:val="Heading2"/>
      </w:pPr>
      <w:r>
        <w:t>A good result contains</w:t>
      </w:r>
    </w:p>
    <w:p>
      <w:r>
        <w:t>Source selection and generated-answer fidelity are separate tests. Current permitted source selection is mandatory. A language model must preserve the exception and identify absent facts.</w:t>
      </w:r>
    </w:p>
    <w:p>
      <w:pPr>
        <w:pStyle w:val="Heading2"/>
      </w:pPr>
      <w:r>
        <w:t>Transfer questions before showing the key</w:t>
      </w:r>
    </w:p>
    <w:p>
      <w:pPr>
        <w:pStyle w:val="ListBullet"/>
      </w:pPr>
      <w:r>
        <w:t>The answer uses the right version but invents an ownership fact. Which test fails?</w:t>
      </w:r>
    </w:p>
    <w:p>
      <w:pPr>
        <w:pStyle w:val="ListBullet"/>
      </w:pPr>
      <w:r>
        <w:t>Search finds no current permitted source. What should happen?</w:t>
      </w:r>
    </w:p>
    <w:p>
      <w:pPr>
        <w:pStyle w:val="ListBullet"/>
      </w:pPr>
      <w:r>
        <w:t>Could keyword retrieval be part of a RAG system?</w:t>
      </w:r>
    </w:p>
    <w:p>
      <w:r>
        <w:t>Expected: Answer fidelity/uncertainty fails. Return a gap or clarification, not an invented answer. RAG can use keyword, vector or hybrid retrieval; it is not defined by vectors alone.</w:t>
      </w:r>
    </w:p>
    <w:p>
      <w:pPr>
        <w:pStyle w:val="Heading2"/>
      </w:pPr>
      <w:r>
        <w:t>Misconceptions to watch for</w:t>
      </w:r>
    </w:p>
    <w:p>
      <w:r>
        <w:t>RAG means the model was trained on firm files: Follow the index and question-time evidence paths as separate operations.</w:t>
      </w:r>
    </w:p>
    <w:p>
      <w:r>
        <w:t>A stronger model repairs wrong-version retrieval: Give it v1 only and ask where the absent exception could be established.</w:t>
      </w:r>
    </w:p>
    <w:p>
      <w:r>
        <w:t>An embedding score determines the legal answer: Inspect the retrieved clause and its conditions after ranking.</w:t>
      </w:r>
    </w:p>
    <w:p>
      <w:pPr>
        <w:pStyle w:val="Heading2"/>
      </w:pPr>
      <w:r>
        <w:t>Decision and recovery</w:t>
      </w:r>
    </w:p>
    <w:p>
      <w:r>
        <w:t>Pilot a maintained permitted collection with an owner, independent test cases and update rules.</w:t>
      </w:r>
    </w:p>
    <w:p>
      <w:r>
        <w:t>The local lexical search is not vector retrieval or a live RAG product; it demonstrates version/access filtering only.</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Retrieval/Knowledge Library Manifest.csv; 02 Data and Retrieval/Knowledge Assistant Tests.csv; 02 Data and Retrieval/Retrieval Scorecard.csv; 02 Data and Retrieval/search_library.py; 02 Data and Retrieval/Retrieval Trace.txt</w:t>
      </w:r>
    </w:p>
    <w:p>
      <w:r>
        <w:br w:type="page"/>
      </w:r>
    </w:p>
    <w:p>
      <w:pPr>
        <w:pStyle w:val="Heading1"/>
      </w:pPr>
      <w:r>
        <w:t>Session 07 Legal research and deep research</w:t>
      </w:r>
    </w:p>
    <w:p>
      <w:r>
        <w:t>How do we turn a legal question into a verified, appropriately limited memo?</w:t>
      </w:r>
    </w:p>
    <w:p>
      <w:pPr>
        <w:pStyle w:val="Heading2"/>
      </w:pPr>
      <w:r>
        <w:t>Result</w:t>
      </w:r>
    </w:p>
    <w:p>
      <w:r>
        <w:t>A claim-to-source register and an audited short research memo.</w:t>
      </w:r>
    </w:p>
    <w:p>
      <w:pPr>
        <w:pStyle w:val="Heading2"/>
      </w:pPr>
      <w:r>
        <w:t>Recall before explaining</w:t>
      </w:r>
    </w:p>
    <w:p>
      <w:r>
        <w:t>A retrieved passage has a valid citation. What remains before advice?</w:t>
      </w:r>
    </w:p>
    <w:p>
      <w:r>
        <w:t>Expected: Read it, verify authority/version and assess whether it supports the proposition and facts.</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3–7</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8–12,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research question; A research plan before a report; Sources and their roles; A real public authority to inspect.</w:t>
      </w:r>
    </w:p>
    <w:p>
      <w:r>
        <w:t>Slides 7–10: Reading a judgment with AI; Submission and finding; Legislation at the relevant time; One proposition, different provision references.</w:t>
      </w:r>
    </w:p>
    <w:p>
      <w:r>
        <w:t>Slides 11–14: A deep-research cycle; The report is not the evidence; A deliberately flawed research note; Confidential facts in a search query.</w:t>
      </w:r>
    </w:p>
    <w:p>
      <w:r>
        <w:t>Slides 15–16: A concise memo structure; A research-quality test.</w:t>
      </w:r>
    </w:p>
    <w:p>
      <w:r>
        <w:t>Optional after the closing check: slides 21–22. Use only for a useful question or agreed extra time.</w:t>
      </w:r>
    </w:p>
    <w:p>
      <w:r>
        <w:br w:type="page"/>
      </w:r>
    </w:p>
    <w:p>
      <w:pPr>
        <w:pStyle w:val="Heading1"/>
      </w:pPr>
      <w:r>
        <w:t>Session 07 Application and answers</w:t>
      </w:r>
    </w:p>
    <w:p>
      <w:pPr>
        <w:pStyle w:val="Heading2"/>
      </w:pPr>
      <w:r>
        <w:t>Demonstration and guided application</w:t>
      </w:r>
    </w:p>
    <w:p>
      <w:r>
        <w:t>1. Use the public Goal Relief decision to investigate how the court treated the programme delivery fee; distinguish submissions from conclusions.</w:t>
      </w:r>
    </w:p>
    <w:p>
      <w:r>
        <w:t>2. Check the appeal-scope paragraph and compare its edition reference with the 2023 Revised Edition reference in K-Files.</w:t>
      </w:r>
    </w:p>
    <w:p>
      <w:r>
        <w:t>3. Run a deep-research task where account access permits; verify every material authority and proposition.</w:t>
      </w:r>
    </w:p>
    <w:p>
      <w:r>
        <w:t>4. Draft a short memo separating the historical holding from the current questions raised by Victoria’s proposed support arrangement.</w:t>
      </w:r>
    </w:p>
    <w:p>
      <w:pPr>
        <w:pStyle w:val="Heading2"/>
      </w:pPr>
      <w:r>
        <w:t>A good result contains</w:t>
      </w:r>
    </w:p>
    <w:p>
      <w:r>
        <w:t>Goal Relief rejects the appellant’s treatment of the programme delivery fee and dismisses the appeal. This historical result does not decide Victoria’s position. The court’s paragraph, statute edition and client facts require separate verification.</w:t>
      </w:r>
    </w:p>
    <w:p>
      <w:pPr>
        <w:pStyle w:val="Heading2"/>
      </w:pPr>
      <w:r>
        <w:t>Transfer questions before showing the key</w:t>
      </w:r>
    </w:p>
    <w:p>
      <w:pPr>
        <w:pStyle w:val="ListBullet"/>
      </w:pPr>
      <w:r>
        <w:t>A later summary contradicts the historical judgment. Which text must be inspected?</w:t>
      </w:r>
    </w:p>
    <w:p>
      <w:pPr>
        <w:pStyle w:val="ListBullet"/>
      </w:pPr>
      <w:r>
        <w:t>Section numbers differ between editions. What must the memo record?</w:t>
      </w:r>
    </w:p>
    <w:p>
      <w:pPr>
        <w:pStyle w:val="ListBullet"/>
      </w:pPr>
      <w:r>
        <w:t>Can the historical holding decide Victoria’s proposed fee?</w:t>
      </w:r>
    </w:p>
    <w:p>
      <w:r>
        <w:t>Expected: Inspect both actual authorities and later treatment. Record Act, edition/date, provision and proposition. The client’s facts and applicable current law need their own analysis.</w:t>
      </w:r>
    </w:p>
    <w:p>
      <w:pPr>
        <w:pStyle w:val="Heading2"/>
      </w:pPr>
      <w:r>
        <w:t>Misconceptions to watch for</w:t>
      </w:r>
    </w:p>
    <w:p>
      <w:r>
        <w:t>A submission is the court’s finding: Read Ground5 and the disposition in the original judgment; label each speaker.</w:t>
      </w:r>
    </w:p>
    <w:p>
      <w:r>
        <w:t>A section number is enough: Compare the two edition references and record Act, edition, date and proposition.</w:t>
      </w:r>
    </w:p>
    <w:p>
      <w:r>
        <w:t>The historical case decides Victoria’s facts: List the different parties, periods, service terms and current-law questions.</w:t>
      </w:r>
    </w:p>
    <w:p>
      <w:pPr>
        <w:pStyle w:val="Heading2"/>
      </w:pPr>
      <w:r>
        <w:t>Decision and recovery</w:t>
      </w:r>
    </w:p>
    <w:p>
      <w:r>
        <w:t>Adopt a claim-level research record, with an accountable reviewer and explicit unresolved questions.</w:t>
      </w:r>
    </w:p>
    <w:p>
      <w:r>
        <w:t>The downloaded court-text reproduction supports the historical reading exercise; current law and later treatment need fresh research.</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Review/Research Brief.txt; 03 Research and Review/Verified Authority Example.txt; 03 Research and Review/Evidence Register.csv; 03 Research and Review/Research Run Record.csv; 01 Matter and Sources/Public Sources.txt</w:t>
      </w:r>
    </w:p>
    <w:p>
      <w:r>
        <w:br w:type="page"/>
      </w:r>
    </w:p>
    <w:p>
      <w:pPr>
        <w:pStyle w:val="Heading1"/>
      </w:pPr>
      <w:r>
        <w:t>Session 08 Contract review and drafting</w:t>
      </w:r>
    </w:p>
    <w:p>
      <w:r>
        <w:t>How can AI support review and drafting while preserving legal judgement?</w:t>
      </w:r>
    </w:p>
    <w:p>
      <w:pPr>
        <w:pStyle w:val="Heading2"/>
      </w:pPr>
      <w:r>
        <w:t>Result</w:t>
      </w:r>
    </w:p>
    <w:p>
      <w:r>
        <w:t>A repaired three-finding review and a justified proposed amendment.</w:t>
      </w:r>
    </w:p>
    <w:p>
      <w:pPr>
        <w:pStyle w:val="Heading2"/>
      </w:pPr>
      <w:r>
        <w:t>Recall before explaining</w:t>
      </w:r>
    </w:p>
    <w:p>
      <w:r>
        <w:t>A party argues a fee is not taxable. May the memo label that the court’s finding?</w:t>
      </w:r>
    </w:p>
    <w:p>
      <w:r>
        <w:t>Expected: No. Separate the submission from the court’s reasoning and disposition.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9–12,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Our contract-review brief; The current agreement and its status; Named entity recognition; A complete obligation record.</w:t>
      </w:r>
    </w:p>
    <w:p>
      <w:r>
        <w:t>Slides 7–10: Clause 3 with its qualification; Review against the playbook; A deliberately flawed review; A source-linked review table.</w:t>
      </w:r>
    </w:p>
    <w:p>
      <w:r>
        <w:t>Slides 11–14: Drafting with controlled inputs; Current clause and proposed addition; A redline needs a reason; Catching robotic drafting.</w:t>
      </w:r>
    </w:p>
    <w:p>
      <w:r>
        <w:t>Slides 15: Review and release responsibilities.</w:t>
      </w:r>
    </w:p>
    <w:p>
      <w:r>
        <w:t>Optional after the closing check: slides 20–23. Use only for a useful question or agreed extra time.</w:t>
      </w:r>
    </w:p>
    <w:p>
      <w:r>
        <w:br w:type="page"/>
      </w:r>
    </w:p>
    <w:p>
      <w:pPr>
        <w:pStyle w:val="Heading1"/>
      </w:pPr>
      <w:r>
        <w:t>Session 08 Application and answers</w:t>
      </w:r>
    </w:p>
    <w:p>
      <w:pPr>
        <w:pStyle w:val="Heading2"/>
      </w:pPr>
      <w:r>
        <w:t>Demonstration and guided application</w:t>
      </w:r>
    </w:p>
    <w:p>
      <w:r>
        <w:t>1. Extract parties, roles and obligations from the longer agreement, checking definitions and cross-references.</w:t>
      </w:r>
    </w:p>
    <w:p>
      <w:r>
        <w:t>2. Repair all three flawed findings using clauses 2, 3 and 4 and the missing signed schedule.</w:t>
      </w:r>
    </w:p>
    <w:p>
      <w:r>
        <w:t>3. Use Variant B: Equator proposes assigning the agreement. The extract does not establish the assignment position.</w:t>
      </w:r>
    </w:p>
    <w:p>
      <w:r>
        <w:t>4. Draft one customer-side amendment with a reason and mark it for qualified review.</w:t>
      </w:r>
    </w:p>
    <w:p>
      <w:pPr>
        <w:pStyle w:val="Heading2"/>
      </w:pPr>
      <w:r>
        <w:t>A good result contains</w:t>
      </w:r>
    </w:p>
    <w:p>
      <w:r>
        <w:t>NER identifies names, not all legal relationships. The three errors lose the exception, reverse support approval and invent a fee. Assignment is not resolved by the change-of-control clause alone.</w:t>
      </w:r>
    </w:p>
    <w:p>
      <w:pPr>
        <w:pStyle w:val="Heading2"/>
      </w:pPr>
      <w:r>
        <w:t>Transfer questions before showing the key</w:t>
      </w:r>
    </w:p>
    <w:p>
      <w:pPr>
        <w:pStyle w:val="ListBullet"/>
      </w:pPr>
      <w:r>
        <w:t>Equator proposes assigning the agreement. Does clause 3 alone settle permission?</w:t>
      </w:r>
    </w:p>
    <w:p>
      <w:pPr>
        <w:pStyle w:val="ListBullet"/>
      </w:pPr>
      <w:r>
        <w:t>The company name is extracted. Has its obligation been established?</w:t>
      </w:r>
    </w:p>
    <w:p>
      <w:pPr>
        <w:pStyle w:val="ListBullet"/>
      </w:pPr>
      <w:r>
        <w:t>The signed schedule is absent. May the amendment assume a fee?</w:t>
      </w:r>
    </w:p>
    <w:p>
      <w:r>
        <w:t>Expected: No: the extract is silent on assignment; inspect the full terms and applicable law. Roles and obligations require surrounding text. Do not invent a fee.</w:t>
      </w:r>
    </w:p>
    <w:p>
      <w:pPr>
        <w:pStyle w:val="Heading2"/>
      </w:pPr>
      <w:r>
        <w:t>Misconceptions to watch for</w:t>
      </w:r>
    </w:p>
    <w:p>
      <w:r>
        <w:t>Recognising a name identifies its obligations: Move from the organisation label to clause2’s actor, action and condition.</w:t>
      </w:r>
    </w:p>
    <w:p>
      <w:r>
        <w:t>Assignment is the same as change of control: Compare VariantB with the actual clause; the extract does not answer assignment.</w:t>
      </w:r>
    </w:p>
    <w:p>
      <w:r>
        <w:t>A realistic fee can fill the schedule gap: Point to clause4 and request the signed schedule; drafting cannot establish an agreed amount.</w:t>
      </w:r>
    </w:p>
    <w:p>
      <w:pPr>
        <w:pStyle w:val="Heading2"/>
      </w:pPr>
      <w:r>
        <w:t>Decision and recovery</w:t>
      </w:r>
    </w:p>
    <w:p>
      <w:r>
        <w:t>Maintain a customer-side playbook and require a reason and source for each proposed change.</w:t>
      </w:r>
    </w:p>
    <w:p>
      <w:r>
        <w:t>The longer agreement is fictional teaching material, not a production contract or legal opinion.</w:t>
      </w:r>
    </w:p>
    <w:p>
      <w:r>
        <w:t>If the connected tool is unavailable, use the labelled example, mark that step unexecuted and preserve time for the explanation. The preflight file names the account-dependent tasks.</w:t>
      </w:r>
    </w:p>
    <w:p>
      <w:pPr>
        <w:pStyle w:val="Heading2"/>
      </w:pPr>
      <w:r>
        <w:t>Open before class</w:t>
      </w:r>
    </w:p>
    <w:p>
      <w:r>
        <w:t>01 Matter and Sources/Long Agreement - Executed v2.txt; 01 Matter and Sources/Contract Review Playbook.txt; 03 Research and Review/Flawed Contract Review.txt; 01 Matter and Sources/Transaction Variants.txt; 03 Research and Review/Contract Review Record.csv</w:t>
      </w:r>
    </w:p>
    <w:p>
      <w:r>
        <w:br w:type="page"/>
      </w:r>
    </w:p>
    <w:p>
      <w:pPr>
        <w:pStyle w:val="Heading1"/>
      </w:pPr>
      <w:r>
        <w:t>Session 09 Automation and agentic AI</w:t>
      </w:r>
    </w:p>
    <w:p>
      <w:r>
        <w:t>When do rules, workflows and agents help, and how do we retain authority?</w:t>
      </w:r>
    </w:p>
    <w:p>
      <w:pPr>
        <w:pStyle w:val="Heading2"/>
      </w:pPr>
      <w:r>
        <w:t>Result</w:t>
      </w:r>
    </w:p>
    <w:p>
      <w:r>
        <w:t>A tested tool boundary and an honestly labelled execution record.</w:t>
      </w:r>
    </w:p>
    <w:p>
      <w:pPr>
        <w:pStyle w:val="Heading2"/>
      </w:pPr>
      <w:r>
        <w:t>Recall before explaining</w:t>
      </w:r>
    </w:p>
    <w:p>
      <w:r>
        <w:t>A draft quotes correctly but names an unauthorised recipient. May it be sent?</w:t>
      </w:r>
    </w:p>
    <w:p>
      <w:r>
        <w:t>Expected: No. Content quality and action authority are separate.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10–12,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work we want to delegate; Automation approaches; Robotic process automation (RPA); A tool request and response.</w:t>
      </w:r>
    </w:p>
    <w:p>
      <w:r>
        <w:t>Slides 7–10: Agent; The agent loop; Function calling and MCP; Human in the loop.</w:t>
      </w:r>
    </w:p>
    <w:p>
      <w:r>
        <w:t>Slides 11–14: Our small classroom assistant; The build we complete together; A fixed workflow and a tool-selecting agent; An injected instruction inside a document.</w:t>
      </w:r>
    </w:p>
    <w:p>
      <w:r>
        <w:t>Slides 15: The demonstration test set.</w:t>
      </w:r>
    </w:p>
    <w:p>
      <w:r>
        <w:t>Optional after the closing check: slides 20–26. Use only for a useful question or agreed extra time.</w:t>
      </w:r>
    </w:p>
    <w:p>
      <w:r>
        <w:br w:type="page"/>
      </w:r>
    </w:p>
    <w:p>
      <w:pPr>
        <w:pStyle w:val="Heading1"/>
      </w:pPr>
      <w:r>
        <w:t>Session 09 Application and answers</w:t>
      </w:r>
    </w:p>
    <w:p>
      <w:pPr>
        <w:pStyle w:val="Heading2"/>
      </w:pPr>
      <w:r>
        <w:t>Demonstration and guided application</w:t>
      </w:r>
    </w:p>
    <w:p>
      <w:r>
        <w:t>1. Begin with the preflighted classroom builder or local workflow; record which route actually executes.</w:t>
      </w:r>
    </w:p>
    <w:p>
      <w:r>
        <w:t>2. Inspect a permitted lookup, structured arguments, tool response and source-linked draft.</w:t>
      </w:r>
    </w:p>
    <w:p>
      <w:r>
        <w:t>3. Test unknown ID, injected instructions, denied recipient and the configured call/spend budget.</w:t>
      </w:r>
    </w:p>
    <w:p>
      <w:r>
        <w:t>4. Approve the exact version, change a field and test stale approval; then decline and confirm the dependent action stops.</w:t>
      </w:r>
    </w:p>
    <w:p>
      <w:pPr>
        <w:pStyle w:val="Heading2"/>
      </w:pPr>
      <w:r>
        <w:t>A good result contains</w:t>
      </w:r>
    </w:p>
    <w:p>
      <w:r>
        <w:t>A workflow follows configured logic; an agent can select permitted actions from observations. Tool requests require enforced authorisation. Rejection or a stale approval stops the dependent action. A local rules demo is not evidence of live agentic behaviour.</w:t>
      </w:r>
    </w:p>
    <w:p>
      <w:pPr>
        <w:pStyle w:val="Heading2"/>
      </w:pPr>
      <w:r>
        <w:t>Transfer questions before showing the key</w:t>
      </w:r>
    </w:p>
    <w:p>
      <w:pPr>
        <w:pStyle w:val="ListBullet"/>
      </w:pPr>
      <w:r>
        <w:t>The model requests an unapproved lookup. Who stops it?</w:t>
      </w:r>
    </w:p>
    <w:p>
      <w:pPr>
        <w:pStyle w:val="ListBullet"/>
      </w:pPr>
      <w:r>
        <w:t>A field changes after approval. Is the old approval sufficient?</w:t>
      </w:r>
    </w:p>
    <w:p>
      <w:pPr>
        <w:pStyle w:val="ListBullet"/>
      </w:pPr>
      <w:r>
        <w:t>A tool server is connected. Has agentic behaviour been demonstrated?</w:t>
      </w:r>
    </w:p>
    <w:p>
      <w:r>
        <w:t>Expected: The execution host enforces the allowed tool and arguments. A changed version requires new review. A connection alone proves no model-selected action.</w:t>
      </w:r>
    </w:p>
    <w:p>
      <w:pPr>
        <w:pStyle w:val="Heading2"/>
      </w:pPr>
      <w:r>
        <w:t>Misconceptions to watch for</w:t>
      </w:r>
    </w:p>
    <w:p>
      <w:r>
        <w:t>A prompt alone enforces authority: Inspect the denied unknown-ID trace and the host’s argument checks.</w:t>
      </w:r>
    </w:p>
    <w:p>
      <w:r>
        <w:t>A connected tool proves an agent ran: Show the actual model request, host execution and returned observation.</w:t>
      </w:r>
    </w:p>
    <w:p>
      <w:r>
        <w:t>Human review is a final checkbox: Decline or change a field in the local demonstration and confirm the dependent action is held.</w:t>
      </w:r>
    </w:p>
    <w:p>
      <w:pPr>
        <w:pStyle w:val="Heading2"/>
      </w:pPr>
      <w:r>
        <w:t>Decision and recovery</w:t>
      </w:r>
    </w:p>
    <w:p>
      <w:r>
        <w:t>Pilot one bounded workflow with an owner, limits, tests and a manual fallback.</w:t>
      </w:r>
    </w:p>
    <w:p>
      <w:r>
        <w:t>Saved read-only agent traces show model-selected lookup. The separate local workflow tests approval controls. Neither demonstrates a production deployment.</w:t>
      </w:r>
    </w:p>
    <w:p>
      <w:r>
        <w:t>If the connected tool is unavailable, use the labelled example, mark that step unexecuted and preserve time for the explanation. The preflight file names the account-dependent tasks.</w:t>
      </w:r>
    </w:p>
    <w:p>
      <w:pPr>
        <w:pStyle w:val="Heading2"/>
      </w:pPr>
      <w:r>
        <w:t>Open before class</w:t>
      </w:r>
    </w:p>
    <w:p>
      <w:r>
        <w:t>04 Automation and Tax/Agent Build Guide.txt; 04 Automation and Tax/Agent Execution Record.csv; 04 Automation and Tax/workflow_demo.html; 04 Automation and Tax/Prompt Injection Fixture.txt; 04 Automation and Tax/Tool Call Example.json</w:t>
      </w:r>
    </w:p>
    <w:p>
      <w:r>
        <w:br w:type="page"/>
      </w:r>
    </w:p>
    <w:p>
      <w:pPr>
        <w:pStyle w:val="Heading1"/>
      </w:pPr>
      <w:r>
        <w:t>Session 10 Tax evidence workflows and controlled actions</w:t>
      </w:r>
    </w:p>
    <w:p>
      <w:r>
        <w:t>How do we reconcile records, investigate evidence and prepare a controlled next step?</w:t>
      </w:r>
    </w:p>
    <w:p>
      <w:pPr>
        <w:pStyle w:val="Heading2"/>
      </w:pPr>
      <w:r>
        <w:t>Result</w:t>
      </w:r>
    </w:p>
    <w:p>
      <w:r>
        <w:t>A checked reconciliation and a held or approved local preparation record.</w:t>
      </w:r>
    </w:p>
    <w:p>
      <w:pPr>
        <w:pStyle w:val="Heading2"/>
      </w:pPr>
      <w:r>
        <w:t>Recall before explaining</w:t>
      </w:r>
    </w:p>
    <w:p>
      <w:r>
        <w:t>A human rejects an otherwise accurate draft. What happens next?</w:t>
      </w:r>
    </w:p>
    <w:p>
      <w:r>
        <w:t>Expected: The dependent action stops; revise or request a new authorised decision.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3–6</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7–11,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Victoria’s September records; Record identity before arithmetic; The reconciliation calculation; A chart of the same reconciliation.</w:t>
      </w:r>
    </w:p>
    <w:p>
      <w:r>
        <w:t>Slides 7–10: An observed error and a clearer input; A missing supporting identifier; A useful exception report; Risk flag and tax conclusion.</w:t>
      </w:r>
    </w:p>
    <w:p>
      <w:r>
        <w:t>Slides 11–14: A supported tax question; Different operations; A bounded filing-assistance process; Acknowledgement and submission status.</w:t>
      </w:r>
    </w:p>
    <w:p>
      <w:r>
        <w:t>Slides 15–16: Failure handling; A record of execution.</w:t>
      </w:r>
    </w:p>
    <w:p>
      <w:r>
        <w:t>Optional after the closing check: slides 21–28. Use only for a useful question or agreed extra time.</w:t>
      </w:r>
    </w:p>
    <w:p>
      <w:r>
        <w:br w:type="page"/>
      </w:r>
    </w:p>
    <w:p>
      <w:pPr>
        <w:pStyle w:val="Heading1"/>
      </w:pPr>
      <w:r>
        <w:t>Session 10 Application and answers</w:t>
      </w:r>
    </w:p>
    <w:p>
      <w:pPr>
        <w:pStyle w:val="Heading2"/>
      </w:pPr>
      <w:r>
        <w:t>Demonstration and guided application</w:t>
      </w:r>
    </w:p>
    <w:p>
      <w:r>
        <w:t>1. Reconcile the source files independently, then inspect an AI-produced mapping and exception report.</w:t>
      </w:r>
    </w:p>
    <w:p>
      <w:r>
        <w:t>2. Use the larger ledger challenge to distinguish a real duplicate from a repeated amount and identify evidence gaps.</w:t>
      </w:r>
    </w:p>
    <w:p>
      <w:r>
        <w:t>3. Read URA’s FDN validation guidance; distinguish that check from tax treatment and return submission.</w:t>
      </w:r>
    </w:p>
    <w:p>
      <w:r>
        <w:t>4. Use the local workflow demo to test missing evidence, changed values, rejection and uncertain acknowledgement before retry.</w:t>
      </w:r>
    </w:p>
    <w:p>
      <w:pPr>
        <w:pStyle w:val="Heading2"/>
      </w:pPr>
      <w:r>
        <w:t>A good result contains</w:t>
      </w:r>
    </w:p>
    <w:p>
      <w:r>
        <w:t>Amounts in UGX million: 125 less duplicate 25 gives 100, then credit 2 gives 98. Receipts of 80 leave 18 under the stated assumptions. That difference alone does not establish unpaid tax. Evidence checks, declaration and payment are separate operations.</w:t>
      </w:r>
    </w:p>
    <w:p>
      <w:pPr>
        <w:pStyle w:val="Heading2"/>
      </w:pPr>
      <w:r>
        <w:t>Transfer questions before showing the key</w:t>
      </w:r>
    </w:p>
    <w:p>
      <w:pPr>
        <w:pStyle w:val="ListBullet"/>
      </w:pPr>
      <w:r>
        <w:t>One receipt belongs to October rather than September. Does the 18m balance still follow?</w:t>
      </w:r>
    </w:p>
    <w:p>
      <w:pPr>
        <w:pStyle w:val="ListBullet"/>
      </w:pPr>
      <w:r>
        <w:t>A missing reference proves fraud: accept or reject?</w:t>
      </w:r>
    </w:p>
    <w:p>
      <w:pPr>
        <w:pStyle w:val="ListBullet"/>
      </w:pPr>
      <w:r>
        <w:t>Acknowledgement is uncertain. Should the action be repeated immediately?</w:t>
      </w:r>
    </w:p>
    <w:p>
      <w:r>
        <w:t>Expected: Recalculate under the changed timing. Reject the unsupported fraud claim and request evidence. Inspect actual status and identifiers before retrying.</w:t>
      </w:r>
    </w:p>
    <w:p>
      <w:pPr>
        <w:pStyle w:val="Heading2"/>
      </w:pPr>
      <w:r>
        <w:t>Misconceptions to watch for</w:t>
      </w:r>
    </w:p>
    <w:p>
      <w:r>
        <w:t>The 18m difference is unpaid tax: Identify the receipts file and the assumptions behind a teaching receivable.</w:t>
      </w:r>
    </w:p>
    <w:p>
      <w:r>
        <w:t>Same amount means duplicate: Compare distinct IDs with the repeated INV-003 identity and supporting reference.</w:t>
      </w:r>
    </w:p>
    <w:p>
      <w:r>
        <w:t>Timeout means retry immediately: Inspect the uncertain local status; repeating may duplicate an action already recorded.</w:t>
      </w:r>
    </w:p>
    <w:p>
      <w:pPr>
        <w:pStyle w:val="Heading2"/>
      </w:pPr>
      <w:r>
        <w:t>Decision and recovery</w:t>
      </w:r>
    </w:p>
    <w:p>
      <w:r>
        <w:t>Begin with supervised evidence preparation, using return-specific requirements and qualified review.</w:t>
      </w:r>
    </w:p>
    <w:p>
      <w:r>
        <w:t>The local mock has no URA connection, computes no tax and grants no filing authority.</w:t>
      </w:r>
    </w:p>
    <w:p>
      <w:r>
        <w:t>If the connected tool is unavailable, use the labelled example, mark that step unexecuted and preserve time for the explanation. The preflight file names the account-dependent tasks.</w:t>
      </w:r>
    </w:p>
    <w:p>
      <w:pPr>
        <w:pStyle w:val="Heading2"/>
      </w:pPr>
      <w:r>
        <w:t>Open before class</w:t>
      </w:r>
    </w:p>
    <w:p>
      <w:r>
        <w:t>04 Automation and Tax/Invoice Import.csv; 04 Automation and Tax/Credit Notes.csv; 04 Automation and Tax/Ledger.csv; 04 Automation and Tax/Receipts.csv; 04 Automation and Tax/Ledger Challenge.csv; 04 Automation and Tax/Financial Assumptions.txt; 04 Automation and Tax/Tax Review Instruction.txt; 04 Automation and Tax/workflow_demo.html</w:t>
      </w:r>
    </w:p>
    <w:p>
      <w:r>
        <w:br w:type="page"/>
      </w:r>
    </w:p>
    <w:p>
      <w:pPr>
        <w:pStyle w:val="Heading1"/>
      </w:pPr>
      <w:r>
        <w:t>Session 11 Organisational risk and governance</w:t>
      </w:r>
    </w:p>
    <w:p>
      <w:r>
        <w:t>What rules, owners and evidence should govern AI use in the firm?</w:t>
      </w:r>
    </w:p>
    <w:p>
      <w:pPr>
        <w:pStyle w:val="Heading2"/>
      </w:pPr>
      <w:r>
        <w:t>Result</w:t>
      </w:r>
    </w:p>
    <w:p>
      <w:r>
        <w:t>A reviewed use rule, three-risk register and incident decision.</w:t>
      </w:r>
    </w:p>
    <w:p>
      <w:pPr>
        <w:pStyle w:val="Heading2"/>
      </w:pPr>
      <w:r>
        <w:t>Recall before explaining</w:t>
      </w:r>
    </w:p>
    <w:p>
      <w:r>
        <w:t>Do receipts lower than sales establish unpaid tax?</w:t>
      </w:r>
    </w:p>
    <w:p>
      <w:r>
        <w:t>Expected: No. Check timing, evidence and the applicable tax question.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40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9–12,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The risks we have already seen; NIST risk-management functions; Ugandan duties to examine; A tool setting and professional permission.</w:t>
      </w:r>
    </w:p>
    <w:p>
      <w:r>
        <w:t>Slides 7–10: Cross-matter access; Prompt injection and tool misuse; Bias and unequal errors; Meaningful human oversight.</w:t>
      </w:r>
    </w:p>
    <w:p>
      <w:r>
        <w:t>Slides 11–14: Staff use and shadow AI; Operational and commercial risks; A risk register with a decision; An incident in our matter.</w:t>
      </w:r>
    </w:p>
    <w:p>
      <w:r>
        <w:t>Slides 15–16: Response and recovery; Governance responsibilities.</w:t>
      </w:r>
    </w:p>
    <w:p>
      <w:r>
        <w:t>Optional after the closing check: slides 21–25. Use only for a useful question or agreed extra time.</w:t>
      </w:r>
    </w:p>
    <w:p>
      <w:r>
        <w:br w:type="page"/>
      </w:r>
    </w:p>
    <w:p>
      <w:pPr>
        <w:pStyle w:val="Heading1"/>
      </w:pPr>
      <w:r>
        <w:t>Session 11 Application and answers</w:t>
      </w:r>
    </w:p>
    <w:p>
      <w:pPr>
        <w:pStyle w:val="Heading2"/>
      </w:pPr>
      <w:r>
        <w:t>Demonstration and guided application</w:t>
      </w:r>
    </w:p>
    <w:p>
      <w:r>
        <w:t>1. Inspect the worked three-risk register and replace one control that would not fit the firm.</w:t>
      </w:r>
    </w:p>
    <w:p>
      <w:r>
        <w:t>2. Compare error rates for difficult scans and clean text; discuss whose matters could be underserved.</w:t>
      </w:r>
    </w:p>
    <w:p>
      <w:r>
        <w:t>3. Run the restricted-matter incident for 20 minutes: contain, preserve evidence, identify recipients and assign legal assessment.</w:t>
      </w:r>
    </w:p>
    <w:p>
      <w:r>
        <w:t>4. Draft an approved-use rule with a named owner, reporting route and restart conditions.</w:t>
      </w:r>
    </w:p>
    <w:p>
      <w:pPr>
        <w:pStyle w:val="Heading2"/>
      </w:pPr>
      <w:r>
        <w:t>A good result contains</w:t>
      </w:r>
    </w:p>
    <w:p>
      <w:r>
        <w:t>Privacy, professional confidentiality, quality and action authority are distinct risks. Each control needs an owner and a test. Incident response starts with containment and assessment, not a guessed universal reporting deadline.</w:t>
      </w:r>
    </w:p>
    <w:p>
      <w:pPr>
        <w:pStyle w:val="Heading2"/>
      </w:pPr>
      <w:r>
        <w:t>Transfer questions before showing the key</w:t>
      </w:r>
    </w:p>
    <w:p>
      <w:pPr>
        <w:pStyle w:val="ListBullet"/>
      </w:pPr>
      <w:r>
        <w:t>No-training is enabled. What other data questions remain?</w:t>
      </w:r>
    </w:p>
    <w:p>
      <w:pPr>
        <w:pStyle w:val="ListBullet"/>
      </w:pPr>
      <w:r>
        <w:t>A scanned collection has more errors. What must be measured?</w:t>
      </w:r>
    </w:p>
    <w:p>
      <w:pPr>
        <w:pStyle w:val="ListBullet"/>
      </w:pPr>
      <w:r>
        <w:t>A restricted passage entered a draft. What is the first response?</w:t>
      </w:r>
    </w:p>
    <w:p>
      <w:r>
        <w:t>Expected: Check retention, access, contracts, location and permission. Measure relevant group quality and effects, with adequate samples. Contain the affected route and preserve evidence while assessing recipients and duties.</w:t>
      </w:r>
    </w:p>
    <w:p>
      <w:pPr>
        <w:pStyle w:val="Heading2"/>
      </w:pPr>
      <w:r>
        <w:t>Misconceptions to watch for</w:t>
      </w:r>
    </w:p>
    <w:p>
      <w:r>
        <w:t>No-training settles confidentiality: Separate training, retention, access, location, contracts and professional permission.</w:t>
      </w:r>
    </w:p>
    <w:p>
      <w:r>
        <w:t>A reviewer removes every risk: Ask whether they had evidence, time, competence and a real ability to stop the action.</w:t>
      </w:r>
    </w:p>
    <w:p>
      <w:r>
        <w:t>A generic policy is enough: Assign a control owner and test the restricted-matter incident before restart.</w:t>
      </w:r>
    </w:p>
    <w:p>
      <w:pPr>
        <w:pStyle w:val="Heading2"/>
      </w:pPr>
      <w:r>
        <w:t>Decision and recovery</w:t>
      </w:r>
    </w:p>
    <w:p>
      <w:r>
        <w:t>Approve a proportionate pilot policy and assign risk, information, technical and practice owners.</w:t>
      </w:r>
    </w:p>
    <w:p>
      <w:r>
        <w:t>The legal frame is a sourced teaching aid, not an opinion that a particular product or configuration complies.</w:t>
      </w:r>
    </w:p>
    <w:p>
      <w:r>
        <w:t>If the connected tool is unavailable, use the labelled example, mark that step unexecuted and preserve time for the explanation. The preflight file names the account-dependent tasks.</w:t>
      </w:r>
    </w:p>
    <w:p>
      <w:pPr>
        <w:pStyle w:val="Heading2"/>
      </w:pPr>
      <w:r>
        <w:t>Open before class</w:t>
      </w:r>
    </w:p>
    <w:p>
      <w:r>
        <w:t>05 Firm Adoption/Uganda Legal Frame.txt; 05 Firm Adoption/Worked AI Risk Register.csv; 05 Firm Adoption/AI Use Rule Example.txt; 05 Firm Adoption/Incident Exercise.txt; 05 Firm Adoption/AI Risk Register.csv</w:t>
      </w:r>
    </w:p>
    <w:p>
      <w:r>
        <w:br w:type="page"/>
      </w:r>
    </w:p>
    <w:p>
      <w:pPr>
        <w:pStyle w:val="Heading1"/>
      </w:pPr>
      <w:r>
        <w:t>Session 12 Leading implementation and evaluating a pilot</w:t>
      </w:r>
    </w:p>
    <w:p>
      <w:r>
        <w:t>What would justify starting, revising or stopping the firm’s first pilot?</w:t>
      </w:r>
    </w:p>
    <w:p>
      <w:pPr>
        <w:pStyle w:val="Heading2"/>
      </w:pPr>
      <w:r>
        <w:t>Result</w:t>
      </w:r>
    </w:p>
    <w:p>
      <w:r>
        <w:t>A defensible pilot proposal and a comparison with the entry diagnostic.</w:t>
      </w:r>
    </w:p>
    <w:p>
      <w:pPr>
        <w:pStyle w:val="Heading2"/>
      </w:pPr>
      <w:r>
        <w:t>Recall before explaining</w:t>
      </w:r>
    </w:p>
    <w:p>
      <w:r>
        <w:t>What evidence would support restarting after restricted-data disclosure?</w:t>
      </w:r>
    </w:p>
    <w:p>
      <w:r>
        <w:t>Expected: Containment, cause investigation, corrected controls, passed tests and an authorised restart decision.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Ask the recall question before the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3–6</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essential concepts; pause at the landmarks below.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7–11,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Show the first example and retain its actual output.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40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Let the learner direct the changed example and verify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firm decision and ask the transfer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Buffer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Recover setup time or revisit a misconception.</w:t>
            </w:r>
          </w:p>
        </w:tc>
      </w:tr>
    </w:tbl>
    <w:p>
      <w:pPr>
        <w:spacing w:after="40"/>
      </w:pPr>
    </w:p>
    <w:p>
      <w:pPr>
        <w:pStyle w:val="Heading2"/>
      </w:pPr>
      <w:r>
        <w:t>Essential teaching landmarks</w:t>
      </w:r>
    </w:p>
    <w:p>
      <w:r>
        <w:t>Slides 3–6: What AI-native means for this firm; The connected learning journey; Comparing candidates; The current and redesigned process.</w:t>
      </w:r>
    </w:p>
    <w:p>
      <w:r>
        <w:t>Slides 7–10: A measurable baseline; A fictional capacity example; When the benefit disappears; Buy, configure or commission.</w:t>
      </w:r>
    </w:p>
    <w:p>
      <w:r>
        <w:t>Slides 11–14: The pilot team; Staff adoption and professional development; Efficiency and service redesign; A staged adoption route.</w:t>
      </w:r>
    </w:p>
    <w:p>
      <w:r>
        <w:t>Slides 15–16: A first 90-day discussion plan; A partner-ready proposal.</w:t>
      </w:r>
    </w:p>
    <w:p>
      <w:r>
        <w:t>Optional after the closing check: slides 21–24. Use only for a useful question or agreed extra time.</w:t>
      </w:r>
    </w:p>
    <w:p>
      <w:r>
        <w:br w:type="page"/>
      </w:r>
    </w:p>
    <w:p>
      <w:pPr>
        <w:pStyle w:val="Heading1"/>
      </w:pPr>
      <w:r>
        <w:t>Session 12 Application and answers</w:t>
      </w:r>
    </w:p>
    <w:p>
      <w:pPr>
        <w:pStyle w:val="Heading2"/>
      </w:pPr>
      <w:r>
        <w:t>Demonstration and guided application</w:t>
      </w:r>
    </w:p>
    <w:p>
      <w:r>
        <w:t>1. Repeat the diagnostic using the alternate facts, without displaying the model answers.</w:t>
      </w:r>
    </w:p>
    <w:p>
      <w:r>
        <w:t>2. Review the worked proposal, then complete the learner’s own candidate scope, baseline and exclusions.</w:t>
      </w:r>
    </w:p>
    <w:p>
      <w:r>
        <w:t>3. Calculate total cost and review effort under both the main assumptions and stress case.</w:t>
      </w:r>
    </w:p>
    <w:p>
      <w:r>
        <w:t>4. Assign proposed owners and relative day-30/60/90 decisions; agree actual dates only if the learner is ready.</w:t>
      </w:r>
    </w:p>
    <w:p>
      <w:pPr>
        <w:pStyle w:val="Heading2"/>
      </w:pPr>
      <w:r>
        <w:t>A good result contains</w:t>
      </w:r>
    </w:p>
    <w:p>
      <w:r>
        <w:t>A pilot needs a bounded problem, representative evidence, acceptance tests, resources, owners and a review decision. Time released is not automatically cash saved. State what evidence would justify expansion or stopping.</w:t>
      </w:r>
    </w:p>
    <w:p>
      <w:pPr>
        <w:pStyle w:val="Heading2"/>
      </w:pPr>
      <w:r>
        <w:t>Transfer questions before showing the key</w:t>
      </w:r>
    </w:p>
    <w:p>
      <w:pPr>
        <w:pStyle w:val="ListBullet"/>
      </w:pPr>
      <w:r>
        <w:t>The draft saves time but loses a critical exception. Expand?</w:t>
      </w:r>
    </w:p>
    <w:p>
      <w:pPr>
        <w:pStyle w:val="ListBullet"/>
      </w:pPr>
      <w:r>
        <w:t>Review effort rises above the manual baseline. What changes?</w:t>
      </w:r>
    </w:p>
    <w:p>
      <w:pPr>
        <w:pStyle w:val="ListBullet"/>
      </w:pPr>
      <w:r>
        <w:t>Who can approve more users or action authority?</w:t>
      </w:r>
    </w:p>
    <w:p>
      <w:r>
        <w:t>Expected: Do not expand with a critical failure. Revise the design or stop if total effort/value is worse. Named firm authorities decide scope and permissions after additional tests.</w:t>
      </w:r>
    </w:p>
    <w:p>
      <w:pPr>
        <w:pStyle w:val="Heading2"/>
      </w:pPr>
      <w:r>
        <w:t>Misconceptions to watch for</w:t>
      </w:r>
    </w:p>
    <w:p>
      <w:r>
        <w:t>Released minutes are cash savings: Separate capacity, demand, avoidable cost and actual revenue effects.</w:t>
      </w:r>
    </w:p>
    <w:p>
      <w:r>
        <w:t>A good demo justifies expansion: Use representative cases, costs, access failures and the stress scenario.</w:t>
      </w:r>
    </w:p>
    <w:p>
      <w:r>
        <w:t>Day90 means automatic deployment: Require an evidence-based expand, revise or stop decision and actual firm approval.</w:t>
      </w:r>
    </w:p>
    <w:p>
      <w:pPr>
        <w:pStyle w:val="Heading2"/>
      </w:pPr>
      <w:r>
        <w:t>Decision and recovery</w:t>
      </w:r>
    </w:p>
    <w:p>
      <w:r>
        <w:t>Prepare one proposal for firm review, with conditions and a next decision date.</w:t>
      </w:r>
    </w:p>
    <w:p>
      <w:r>
        <w:t>A classroom proposal is not production approval; proposed roles and dates require the firm’s agreement.</w:t>
      </w:r>
    </w:p>
    <w:p>
      <w:r>
        <w:t>If the connected tool is unavailable, use the labelled example, mark that step unexecuted and preserve time for the explanation. The preflight file names the account-dependent tasks.</w:t>
      </w:r>
    </w:p>
    <w:p>
      <w:pPr>
        <w:pStyle w:val="Heading2"/>
      </w:pPr>
      <w:r>
        <w:t>Open before class</w:t>
      </w:r>
    </w:p>
    <w:p>
      <w:r>
        <w:t>05 Firm Adoption/Worked Pilot Proposal.txt; 05 Firm Adoption/Pilot Proposal.txt; 05 Firm Adoption/Cost and Effort Example.csv; 05 Firm Adoption/Adoption Plan.csv; 05 Firm Adoption/Entry and Exit Diagnostic.csv; 05 Firm Adoption/Investment AI Due Diligence.txt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KLAi Professional Learning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