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Law Firm Implementation Playbook</w:t>
      </w:r>
    </w:p>
    <w:p>
      <w:pPr>
        <w:pStyle w:val="Subtitle"/>
      </w:pPr>
      <w:r>
        <w:t>Working decisions and a completed teaching example</w:t>
      </w:r>
    </w:p>
    <w:p>
      <w:r>
        <w:t>We will turn the course into a proposal for one bounded firm pilot. This document includes a worked fictional example so that the required decisions are concrete. We will adapt the reasoning to the firm during class. Completing it does not approve production use.</w:t>
      </w:r>
    </w:p>
    <w:p>
      <w:pPr>
        <w:pStyle w:val="Heading2"/>
      </w:pPr>
      <w:r>
        <w:t>Candidate scope</w:t>
      </w:r>
    </w:p>
    <w:p>
      <w:r>
        <w:t>Internal precedent search and partner-review drafting are the worked example. Exclude external delivery, cross-matter access, filing and payment. A tax evidence workflow is an alternative, not an additional requirement.</w:t>
      </w:r>
    </w:p>
    <w:p>
      <w:pPr>
        <w:pStyle w:val="Heading2"/>
      </w:pPr>
      <w:r>
        <w:t>Our proposal</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Decision</w:t>
            </w:r>
          </w:p>
        </w:tc>
        <w:tc>
          <w:tcPr>
            <w:tcW w:type="dxa" w:w="7056"/>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Working note</w:t>
            </w:r>
          </w:p>
        </w:tc>
      </w:tr>
      <w:tr>
        <w:trPr>
          <w:cantSplit/>
        </w:trPr>
        <w:tc>
          <w:tcPr>
            <w:tcW w:type="dxa" w:w="28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Problem and present process</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Selected workflow and exclusions</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28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Sponsor and practice owner</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Sources and information owner</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Evidence before a purchase</w:t>
      </w:r>
    </w:p>
    <w:p>
      <w:r>
        <w:t>Require a representative trial, actual data terms, permissions, review effort, total costs and an exit route. Use Vendor Due Diligence.csv. A vendor demo and a classroom success do not establish firm-wide reliability.</w:t>
      </w:r>
    </w:p>
    <w:p>
      <w:r>
        <w:br w:type="page"/>
      </w:r>
    </w:p>
    <w:p>
      <w:pPr>
        <w:pStyle w:val="Heading1"/>
      </w:pPr>
      <w:r>
        <w:t>Information and workflow design</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Design area</w:t>
            </w:r>
          </w:p>
        </w:tc>
        <w:tc>
          <w:tcPr>
            <w:tcW w:type="dxa" w:w="756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Decision to make</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Source readiness</w:t>
            </w:r>
          </w:p>
        </w:tc>
        <w:tc>
          <w:tcPr>
            <w:tcW w:type="dxa" w:w="75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Systems, modalities, formats, authority and missing evidence</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Access</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Who may search which matters and for what purpose</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Preparation</w:t>
            </w:r>
          </w:p>
        </w:tc>
        <w:tc>
          <w:tcPr>
            <w:tcW w:type="dxa" w:w="75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Extraction checks, provenance, chunks and update policy</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Workflow</w:t>
            </w:r>
          </w:p>
        </w:tc>
        <w:tc>
          <w:tcPr>
            <w:tcW w:type="dxa" w:w="75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Inputs, allowed tools, review and excluded actions</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Operations</w:t>
            </w:r>
          </w:p>
        </w:tc>
        <w:tc>
          <w:tcPr>
            <w:tcW w:type="dxa" w:w="75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Logs, monitoring, support, recovery and changes</w:t>
            </w:r>
          </w:p>
        </w:tc>
      </w:tr>
    </w:tbl>
    <w:p>
      <w:pPr>
        <w:spacing w:after="40"/>
      </w:pPr>
    </w:p>
    <w:p>
      <w:pPr>
        <w:pStyle w:val="Heading2"/>
      </w:pPr>
      <w:r>
        <w:t>Our source and review record</w:t>
      </w:r>
    </w:p>
    <w:tbl>
      <w:tblPr>
        <w:tblW w:type="auto" w:w="0"/>
        <w:jc w:val="center"/>
        <w:tblLayout w:type="fixed"/>
        <w:tblLook w:firstColumn="1" w:firstRow="1" w:lastColumn="0" w:lastRow="0" w:noHBand="0" w:noVBand="1" w:val="04A0"/>
      </w:tblPr>
      <w:tblGrid>
        <w:gridCol w:w="3024"/>
        <w:gridCol w:w="2592"/>
        <w:gridCol w:w="4320"/>
      </w:tblGrid>
      <w:tr>
        <w:trPr>
          <w:cantSplit/>
          <w:tblHeader/>
        </w:trPr>
        <w:tc>
          <w:tcPr>
            <w:tcW w:type="dxa" w:w="302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Source or stage</w:t>
            </w:r>
          </w:p>
        </w:tc>
        <w:tc>
          <w:tcPr>
            <w:tcW w:type="dxa" w:w="259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to confirm</w:t>
            </w:r>
          </w:p>
        </w:tc>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Decision and evidence</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pPr>
        <w:pStyle w:val="Heading2"/>
      </w:pPr>
      <w:r>
        <w:t>A consequential action</w:t>
      </w:r>
    </w:p>
    <w:p>
      <w:r>
        <w:t>The reviewer sees the exact version and supporting evidence. Rejection stops the dependent action; changed fields require renewed review. The execution host enforces permitted operations, recipients and budgets.</w:t>
      </w:r>
    </w:p>
    <w:p>
      <w:r>
        <w:br w:type="page"/>
      </w:r>
    </w:p>
    <w:p>
      <w:pPr>
        <w:pStyle w:val="Heading1"/>
      </w:pPr>
      <w:r>
        <w:t>Evaluation and acceptance</w:t>
      </w:r>
    </w:p>
    <w:p>
      <w:r>
        <w:t>First measure the current manual process. Include ordinary and difficult cases, not just the demonstration clause. Separate source selection, answer fidelity, access, tool execution and professional usefulness. Define critical failures before collecting results.</w:t>
      </w:r>
    </w:p>
    <w:tbl>
      <w:tblPr>
        <w:tblW w:type="auto" w:w="0"/>
        <w:jc w:val="center"/>
        <w:tblLayout w:type="fixed"/>
        <w:tblLook w:firstColumn="1" w:firstRow="1" w:lastColumn="0" w:lastRow="0" w:noHBand="0" w:noVBand="1" w:val="04A0"/>
      </w:tblPr>
      <w:tblGrid>
        <w:gridCol w:w="2160"/>
        <w:gridCol w:w="7776"/>
      </w:tblGrid>
      <w:tr>
        <w:trPr>
          <w:cantSplit/>
          <w:tblHeader/>
        </w:trPr>
        <w:tc>
          <w:tcPr>
            <w:tcW w:type="dxa" w:w="216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Measure</w:t>
            </w:r>
          </w:p>
        </w:tc>
        <w:tc>
          <w:tcPr>
            <w:tcW w:type="dxa" w:w="7776"/>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Quality</w:t>
            </w:r>
          </w:p>
        </w:tc>
        <w:tc>
          <w:tcPr>
            <w:tcW w:type="dxa" w:w="77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Correct source, complete meaning, uncertainty and useful result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Critical errors</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Restricted disclosure, invented material terms or unapproved actions</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Total effort</w:t>
            </w:r>
          </w:p>
        </w:tc>
        <w:tc>
          <w:tcPr>
            <w:tcW w:type="dxa" w:w="77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Preparation, checking, corrections, escalation and support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Value</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Turnaround, capacity or better client decisions</w:t>
            </w:r>
          </w:p>
        </w:tc>
      </w:tr>
      <w:tr>
        <w:trPr>
          <w:cantSplit/>
        </w:trPr>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Change</w:t>
            </w:r>
          </w:p>
        </w:tc>
        <w:tc>
          <w:tcPr>
            <w:tcW w:type="dxa" w:w="77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Performance after source, model, access or workflow updates</w:t>
            </w:r>
          </w:p>
        </w:tc>
      </w:tr>
    </w:tbl>
    <w:p>
      <w:pPr>
        <w:spacing w:after="40"/>
      </w:pPr>
    </w:p>
    <w:p>
      <w:pPr>
        <w:pStyle w:val="Heading2"/>
      </w:pPr>
      <w:r>
        <w:t>Our acceptance decision</w:t>
      </w:r>
    </w:p>
    <w:tbl>
      <w:tblPr>
        <w:tblW w:type="auto" w:w="0"/>
        <w:jc w:val="center"/>
        <w:tblLayout w:type="fixed"/>
        <w:tblLook w:firstColumn="1" w:firstRow="1" w:lastColumn="0" w:lastRow="0" w:noHBand="0" w:noVBand="1" w:val="04A0"/>
      </w:tblPr>
      <w:tblGrid>
        <w:gridCol w:w="4320"/>
        <w:gridCol w:w="2160"/>
        <w:gridCol w:w="3456"/>
      </w:tblGrid>
      <w:tr>
        <w:trPr>
          <w:cantSplit/>
          <w:tblHeader/>
        </w:trPr>
        <w:tc>
          <w:tcPr>
            <w:tcW w:type="dxa" w:w="432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Threshold or stop condition</w:t>
            </w:r>
          </w:p>
        </w:tc>
        <w:tc>
          <w:tcPr>
            <w:tcW w:type="dxa" w:w="216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Who decides</w:t>
            </w:r>
          </w:p>
        </w:tc>
        <w:tc>
          <w:tcPr>
            <w:tcW w:type="dxa" w:w="3456"/>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needed</w:t>
            </w:r>
          </w:p>
        </w:tc>
      </w:tr>
      <w:tr>
        <w:trPr>
          <w:cantSplit/>
        </w:trPr>
        <w:tc>
          <w:tcPr>
            <w:tcW w:type="dxa" w:w="43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4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A classroom 0–2 rubric supports discussion. It is not a statistically validated production threshold. Set representative test coverage and acceptance conditions with the firm.</w:t>
      </w:r>
    </w:p>
    <w:p>
      <w:r>
        <w:br w:type="page"/>
      </w:r>
    </w:p>
    <w:p>
      <w:pPr>
        <w:pStyle w:val="Heading1"/>
      </w:pPr>
      <w:r>
        <w:t>Budget and benefit assessment</w:t>
      </w:r>
    </w:p>
    <w:p>
      <w:r>
        <w:t>Use actual quotations and observed review time before committing funds. The figures below are fictional assumptions for learning, not market prices.</w:t>
      </w:r>
    </w:p>
    <w:tbl>
      <w:tblPr>
        <w:tblW w:type="auto" w:w="0"/>
        <w:jc w:val="center"/>
        <w:tblLayout w:type="fixed"/>
        <w:tblLook w:firstColumn="1" w:firstRow="1" w:lastColumn="0" w:lastRow="0" w:noHBand="0" w:noVBand="1" w:val="04A0"/>
      </w:tblPr>
      <w:tblGrid>
        <w:gridCol w:w="3888"/>
        <w:gridCol w:w="6048"/>
      </w:tblGrid>
      <w:tr>
        <w:trPr>
          <w:cantSplit/>
          <w:tblHeader/>
        </w:trPr>
        <w:tc>
          <w:tcPr>
            <w:tcW w:type="dxa" w:w="388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Assumption</w:t>
            </w:r>
          </w:p>
        </w:tc>
        <w:tc>
          <w:tcPr>
            <w:tcW w:type="dxa" w:w="60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Teaching example</w:t>
            </w:r>
          </w:p>
        </w:tc>
      </w:tr>
      <w:tr>
        <w:trPr>
          <w:cantSplit/>
        </w:trPr>
        <w:tc>
          <w:tcPr>
            <w:tcW w:type="dxa" w:w="38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Monthly licence, usage and maintenance</w:t>
            </w:r>
          </w:p>
        </w:tc>
        <w:tc>
          <w:tcPr>
            <w:tcW w:type="dxa" w:w="60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UGX 120,000 + 30,000 + 90,000 = 240,000</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Initial setup</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UGX 600,000 once</w:t>
            </w:r>
          </w:p>
        </w:tc>
      </w:tr>
      <w:tr>
        <w:trPr>
          <w:cantSplit/>
        </w:trPr>
        <w:tc>
          <w:tcPr>
            <w:tcW w:type="dxa" w:w="38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First three months</w:t>
            </w:r>
          </w:p>
        </w:tc>
        <w:tc>
          <w:tcPr>
            <w:tcW w:type="dxa" w:w="60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UGX 600,000 + 3 × 240,000 = 1,320,000</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Main capacity case</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40 tasks × (30 − 20) minutes = 400 minutes released/month</w:t>
            </w:r>
          </w:p>
        </w:tc>
      </w:tr>
      <w:tr>
        <w:trPr>
          <w:cantSplit/>
        </w:trPr>
        <w:tc>
          <w:tcPr>
            <w:tcW w:type="dxa" w:w="38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Stress case</w:t>
            </w:r>
          </w:p>
        </w:tc>
        <w:tc>
          <w:tcPr>
            <w:tcW w:type="dxa" w:w="60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40 tasks × (30 − 33) = −120 minutes/month</w:t>
            </w:r>
          </w:p>
        </w:tc>
      </w:tr>
    </w:tbl>
    <w:p>
      <w:pPr>
        <w:spacing w:after="40"/>
      </w:pPr>
    </w:p>
    <w:p>
      <w:r>
        <w:t>Released time is not automatically cash saving. Specify how the firm will use capacity, whether demand exists, what review adds and which costs are actually avoidable. Keep currencies separate unless an exchange rate is explicitly sourced.</w:t>
      </w:r>
    </w:p>
    <w:p>
      <w:pPr>
        <w:pStyle w:val="Heading2"/>
      </w:pPr>
      <w:r>
        <w:t>Our cost and benefit record</w:t>
      </w:r>
    </w:p>
    <w:tbl>
      <w:tblPr>
        <w:tblW w:type="auto" w:w="0"/>
        <w:jc w:val="center"/>
        <w:tblLayout w:type="fixed"/>
        <w:tblLook w:firstColumn="1" w:firstRow="1" w:lastColumn="0" w:lastRow="0" w:noHBand="0" w:noVBand="1" w:val="04A0"/>
      </w:tblPr>
      <w:tblGrid>
        <w:gridCol w:w="2448"/>
        <w:gridCol w:w="5040"/>
        <w:gridCol w:w="2448"/>
      </w:tblGrid>
      <w:tr>
        <w:trPr>
          <w:cantSplit/>
          <w:tblHeader/>
        </w:trPr>
        <w:tc>
          <w:tcPr>
            <w:tcW w:type="dxa" w:w="24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Item</w:t>
            </w:r>
          </w:p>
        </w:tc>
        <w:tc>
          <w:tcPr>
            <w:tcW w:type="dxa" w:w="504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Evidence or assumption</w:t>
            </w:r>
          </w:p>
        </w:tc>
        <w:tc>
          <w:tcPr>
            <w:tcW w:type="dxa" w:w="24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Amount or time</w:t>
            </w:r>
          </w:p>
        </w:tc>
      </w:tr>
      <w:tr>
        <w:trPr>
          <w:cantSplit/>
        </w:trPr>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Licence and usage</w:t>
            </w:r>
          </w:p>
        </w:tc>
        <w:tc>
          <w:tcPr>
            <w:tcW w:type="dxa" w:w="50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Setup and support</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Review and correction</w:t>
            </w:r>
          </w:p>
        </w:tc>
        <w:tc>
          <w:tcPr>
            <w:tcW w:type="dxa" w:w="50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Benefit that can be tested</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br w:type="page"/>
      </w:r>
    </w:p>
    <w:p>
      <w:pPr>
        <w:pStyle w:val="Heading1"/>
      </w:pPr>
      <w:r>
        <w:t>Risk ownership and use rules</w:t>
      </w:r>
    </w:p>
    <w:p>
      <w:r>
        <w:t>The following is a proposed teaching register. Replace role labels with agreed owners. Privacy, professional confidentiality, quality and action authority need separate assessment. Use Uganda Legal Frame.txt for the sourced legal questions.</w:t>
      </w:r>
    </w:p>
    <w:tbl>
      <w:tblPr>
        <w:tblW w:type="auto" w:w="0"/>
        <w:jc w:val="center"/>
        <w:tblLayout w:type="fixed"/>
        <w:tblLook w:firstColumn="1" w:firstRow="1" w:lastColumn="0" w:lastRow="0" w:noHBand="0" w:noVBand="1" w:val="04A0"/>
      </w:tblPr>
      <w:tblGrid>
        <w:gridCol w:w="2592"/>
        <w:gridCol w:w="5184"/>
        <w:gridCol w:w="2160"/>
      </w:tblGrid>
      <w:tr>
        <w:trPr>
          <w:cantSplit/>
          <w:tblHeader/>
        </w:trPr>
        <w:tc>
          <w:tcPr>
            <w:tcW w:type="dxa" w:w="259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Risk</w:t>
            </w:r>
          </w:p>
        </w:tc>
        <w:tc>
          <w:tcPr>
            <w:tcW w:type="dxa" w:w="518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Control and test</w:t>
            </w:r>
          </w:p>
        </w:tc>
        <w:tc>
          <w:tcPr>
            <w:tcW w:type="dxa" w:w="2160"/>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Owner role</w:t>
            </w:r>
          </w:p>
        </w:tc>
      </w:tr>
      <w:tr>
        <w:trPr>
          <w:cantSplit/>
        </w:trPr>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Cross-matter disclosure</w:t>
            </w:r>
          </w:p>
        </w:tc>
        <w:tc>
          <w:tcPr>
            <w:tcW w:type="dxa" w:w="51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Filter before retrieval; test forbidden queries</w:t>
            </w:r>
          </w:p>
        </w:tc>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Information / technical</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Lost exception</w:t>
            </w:r>
          </w:p>
        </w:tc>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Source-linked review; changed-condition test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Practice reviewer</w:t>
            </w:r>
          </w:p>
        </w:tc>
      </w:tr>
      <w:tr>
        <w:trPr>
          <w:cantSplit/>
        </w:trPr>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Action after rejection</w:t>
            </w:r>
          </w:p>
        </w:tc>
        <w:tc>
          <w:tcPr>
            <w:tcW w:type="dxa" w:w="51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Version-bound gate; decline/stale-approval test</w:t>
            </w:r>
          </w:p>
        </w:tc>
        <w:tc>
          <w:tcPr>
            <w:tcW w:type="dxa" w:w="21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Workflow owner</w:t>
            </w:r>
          </w:p>
        </w:tc>
      </w:tr>
    </w:tbl>
    <w:p>
      <w:pPr>
        <w:spacing w:after="40"/>
      </w:pPr>
    </w:p>
    <w:p>
      <w:pPr>
        <w:pStyle w:val="Heading2"/>
      </w:pPr>
      <w:r>
        <w:t>Proposed use rule</w:t>
      </w:r>
    </w:p>
    <w:p>
      <w:r>
        <w:t>Use only the approved product/account and source collection. Keep matter permissions. A qualified reviewer checks material claims before external use. No new recipient, filing, payment or broader access is authorised by a chat instruction. Report errors through the agreed route. Stop, preserve evidence and assess duties after a material incident. Retest before authorised restart.</w:t>
      </w:r>
    </w:p>
    <w:p>
      <w:pPr>
        <w:pStyle w:val="Heading2"/>
      </w:pPr>
      <w:r>
        <w:t>Our decisions</w:t>
      </w:r>
    </w:p>
    <w:tbl>
      <w:tblPr>
        <w:tblW w:type="auto" w:w="0"/>
        <w:jc w:val="center"/>
        <w:tblLayout w:type="fixed"/>
        <w:tblLook w:firstColumn="1" w:firstRow="1" w:lastColumn="0" w:lastRow="0" w:noHBand="0" w:noVBand="1" w:val="04A0"/>
      </w:tblPr>
      <w:tblGrid>
        <w:gridCol w:w="4752"/>
        <w:gridCol w:w="2592"/>
        <w:gridCol w:w="2592"/>
      </w:tblGrid>
      <w:tr>
        <w:trPr>
          <w:cantSplit/>
          <w:tblHeader/>
        </w:trPr>
        <w:tc>
          <w:tcPr>
            <w:tcW w:type="dxa" w:w="475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Approved scope and account</w:t>
            </w:r>
          </w:p>
        </w:tc>
        <w:tc>
          <w:tcPr>
            <w:tcW w:type="dxa" w:w="259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Incident contact</w:t>
            </w:r>
          </w:p>
        </w:tc>
        <w:tc>
          <w:tcPr>
            <w:tcW w:type="dxa" w:w="2592"/>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Review date</w:t>
            </w:r>
          </w:p>
        </w:tc>
      </w:tr>
      <w:tr>
        <w:trPr>
          <w:cantSplit/>
        </w:trPr>
        <w:tc>
          <w:tcPr>
            <w:tcW w:type="dxa" w:w="475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br w:type="page"/>
      </w:r>
    </w:p>
    <w:p>
      <w:pPr>
        <w:pStyle w:val="Heading1"/>
      </w:pPr>
      <w:r>
        <w:t>Worked pilot proposal</w:t>
      </w:r>
    </w:p>
    <w:p>
      <w:r>
        <w:t>Fictional example: internal precedent search and review drafting for M-01. The problem is time spent finding current clauses and correcting incomplete summaries. The proposal excludes external action and other matters.</w:t>
      </w:r>
    </w:p>
    <w:p>
      <w:pPr>
        <w:pStyle w:val="Heading2"/>
      </w:pPr>
      <w:r>
        <w:t>Approach and evidence</w:t>
      </w:r>
    </w:p>
    <w:p>
      <w:r>
        <w:t>Compare one available configured product with manual review using a current permitted collection. Start with ten representative ordinary and difficult tasks, recording review time and critical errors. This is an initial test set, not proof of broad reliability. Expand coverage before a wider decision.</w:t>
      </w:r>
    </w:p>
    <w:p>
      <w:pPr>
        <w:pStyle w:val="Heading2"/>
      </w:pPr>
      <w:r>
        <w:t>Proposed acceptance conditions</w:t>
      </w:r>
    </w:p>
    <w:p>
      <w:r>
        <w:t>No restricted disclosure or unapproved action. No accepted draft with an omitted operative exception or invented material term. Meet the quality threshold agreed before testing and improve total review effort against the measured baseline. Critical failures stop expansion.</w:t>
      </w:r>
    </w:p>
    <w:p>
      <w:pPr>
        <w:pStyle w:val="Heading2"/>
      </w:pPr>
      <w:r>
        <w:t>Responsibilities</w:t>
      </w:r>
    </w:p>
    <w:p>
      <w:r>
        <w:t>Partner sponsor: scope and investment. Practice reviewer: meaning and release. Information owner: sources, permissions and retention. Technical/workflow owner: enforced controls, support and changes. Names require the firm’s agreement.</w:t>
      </w:r>
    </w:p>
    <w:p>
      <w:pPr>
        <w:pStyle w:val="Heading2"/>
      </w:pPr>
      <w:r>
        <w:t>Resources and decision</w:t>
      </w:r>
    </w:p>
    <w:p>
      <w:r>
        <w:t>Use the budget assessment with actual quotations. Stop or revise if correction effort erases the benefit. Retain a manual fallback. The sponsor decides whether evidence supports a bounded pilot, revision or stopping; this example does not grant authority.</w:t>
      </w:r>
    </w:p>
    <w:p>
      <w:r>
        <w:br w:type="page"/>
      </w:r>
    </w:p>
    <w:p>
      <w:pPr>
        <w:pStyle w:val="Heading1"/>
      </w:pPr>
      <w:r>
        <w:t>People and staged implementation</w:t>
      </w:r>
    </w:p>
    <w:p>
      <w:r>
        <w:t>Explain the proposed change to affected staff, train reviewers and maintain professional skills. Identify how an approved route will be easier to use than informal workarounds. Include feedback and correction ownership.</w:t>
      </w:r>
    </w:p>
    <w:tbl>
      <w:tblPr>
        <w:tblW w:type="auto" w:w="0"/>
        <w:jc w:val="center"/>
        <w:tblLayout w:type="fixed"/>
        <w:tblLook w:firstColumn="1" w:firstRow="1" w:lastColumn="0" w:lastRow="0" w:noHBand="0" w:noVBand="1" w:val="04A0"/>
      </w:tblPr>
      <w:tblGrid>
        <w:gridCol w:w="1584"/>
        <w:gridCol w:w="3024"/>
        <w:gridCol w:w="5328"/>
      </w:tblGrid>
      <w:tr>
        <w:trPr>
          <w:cantSplit/>
          <w:tblHeader/>
        </w:trPr>
        <w:tc>
          <w:tcPr>
            <w:tcW w:type="dxa" w:w="158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Period after approval</w:t>
            </w:r>
          </w:p>
        </w:tc>
        <w:tc>
          <w:tcPr>
            <w:tcW w:type="dxa" w:w="302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Proposed owner</w:t>
            </w:r>
          </w:p>
        </w:tc>
        <w:tc>
          <w:tcPr>
            <w:tcW w:type="dxa" w:w="532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Decision evidence</w:t>
            </w:r>
          </w:p>
        </w:tc>
      </w:tr>
      <w:tr>
        <w:trPr>
          <w:cantSplit/>
        </w:trPr>
        <w:tc>
          <w:tcPr>
            <w:tcW w:type="dxa" w:w="15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Day 0–30</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Practice and information owners</w:t>
            </w:r>
          </w:p>
        </w:tc>
        <w:tc>
          <w:tcPr>
            <w:tcW w:type="dxa" w:w="532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Scope, sources, permissions and baseline: ready to shadow?</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Day 31–60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Workflow owner and reviewers</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Quality, effort and failure tests: ready for bounded use?</w:t>
            </w:r>
          </w:p>
        </w:tc>
      </w:tr>
      <w:tr>
        <w:trPr>
          <w:cantSplit/>
        </w:trPr>
        <w:tc>
          <w:tcPr>
            <w:tcW w:type="dxa" w:w="158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Day 61–90</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Sponsor and risk owner</w:t>
            </w:r>
          </w:p>
        </w:tc>
        <w:tc>
          <w:tcPr>
            <w:tcW w:type="dxa" w:w="532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Value and remaining exposure: expand, revise or stop?</w:t>
            </w:r>
          </w:p>
        </w:tc>
      </w:tr>
    </w:tbl>
    <w:p>
      <w:pPr>
        <w:spacing w:after="40"/>
      </w:pPr>
    </w:p>
    <w:p>
      <w:pPr>
        <w:pStyle w:val="Heading2"/>
      </w:pPr>
      <w:r>
        <w:t>Dates and people to agree</w:t>
      </w:r>
    </w:p>
    <w:tbl>
      <w:tblPr>
        <w:tblW w:type="auto" w:w="0"/>
        <w:jc w:val="center"/>
        <w:tblLayout w:type="fixed"/>
        <w:tblLook w:firstColumn="1" w:firstRow="1" w:lastColumn="0" w:lastRow="0" w:noHBand="0" w:noVBand="1" w:val="04A0"/>
      </w:tblPr>
      <w:tblGrid>
        <w:gridCol w:w="3744"/>
        <w:gridCol w:w="3744"/>
        <w:gridCol w:w="2448"/>
      </w:tblGrid>
      <w:tr>
        <w:trPr>
          <w:cantSplit/>
          <w:tblHeader/>
        </w:trPr>
        <w:tc>
          <w:tcPr>
            <w:tcW w:type="dxa" w:w="37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Milestone</w:t>
            </w:r>
          </w:p>
        </w:tc>
        <w:tc>
          <w:tcPr>
            <w:tcW w:type="dxa" w:w="3744"/>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Actual owner</w:t>
            </w:r>
          </w:p>
        </w:tc>
        <w:tc>
          <w:tcPr>
            <w:tcW w:type="dxa" w:w="2448"/>
            <w:vAlign w:val="center"/>
            <w:shd w:fill="1C3144"/>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color w:val="FFFFFF"/>
                <w:sz w:val="20"/>
              </w:rPr>
              <w:t>Actual date</w:t>
            </w:r>
          </w:p>
        </w:tc>
      </w:tr>
      <w:tr>
        <w:trPr>
          <w:cantSplit/>
        </w:trPr>
        <w:tc>
          <w:tcPr>
            <w:tcW w:type="dxa" w:w="37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Readiness review</w:t>
            </w:r>
          </w:p>
        </w:tc>
        <w:tc>
          <w:tcPr>
            <w:tcW w:type="dxa" w:w="37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Shadow review</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r>
        <w:trPr>
          <w:cantSplit/>
        </w:trPr>
        <w:tc>
          <w:tcPr>
            <w:tcW w:type="dxa" w:w="37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t>Pilot decision</w:t>
            </w:r>
          </w:p>
        </w:tc>
        <w:tc>
          <w:tcPr>
            <w:tcW w:type="dxa" w:w="374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c>
          <w:tcPr>
            <w:tcW w:type="dxa" w:w="244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rFonts w:ascii="Arial" w:hAnsi="Arial"/>
                <w:b w:val="0"/>
                <w:color w:val="000000"/>
                <w:sz w:val="20"/>
              </w:rPr>
            </w:r>
          </w:p>
        </w:tc>
      </w:tr>
    </w:tbl>
    <w:p>
      <w:pPr>
        <w:spacing w:after="40"/>
      </w:pPr>
    </w:p>
    <w:p>
      <w:r>
        <w:t>These are relative planning stages, not a promise to deploy in 90 days. No follow-up appointment has been booked. Agree actual dates around the firm’s capacity and dependencies.</w:t>
      </w:r>
    </w:p>
    <w:p>
      <w:r>
        <w:br w:type="page"/>
      </w:r>
    </w:p>
    <w:p>
      <w:pPr>
        <w:pStyle w:val="Heading1"/>
      </w:pPr>
      <w:r>
        <w:t>Partner handover and optional investment transfer</w:t>
      </w:r>
    </w:p>
    <w:p>
      <w:r>
        <w:t>The handover should contain the problem, selected workflow, sources, results, limitations, costs, owners, controls and next decision. Another partner should be able to understand why the proposal is justified without attending every lesson.</w:t>
      </w:r>
    </w:p>
    <w:p>
      <w:pPr>
        <w:pStyle w:val="Heading2"/>
      </w:pPr>
      <w:r>
        <w:t>Handover checklist</w:t>
      </w:r>
    </w:p>
    <w:p>
      <w:pPr>
        <w:pStyle w:val="ListBullet"/>
      </w:pPr>
      <w:r>
        <w:t>A bounded problem and the manual baseline</w:t>
      </w:r>
    </w:p>
    <w:p>
      <w:pPr>
        <w:pStyle w:val="ListBullet"/>
      </w:pPr>
      <w:r>
        <w:t>Current source and permission record</w:t>
      </w:r>
    </w:p>
    <w:p>
      <w:pPr>
        <w:pStyle w:val="ListBullet"/>
      </w:pPr>
      <w:r>
        <w:t>Actual test outputs and acceptance decision</w:t>
      </w:r>
    </w:p>
    <w:p>
      <w:pPr>
        <w:pStyle w:val="ListBullet"/>
      </w:pPr>
      <w:r>
        <w:t>Total cost and review-effort assumptions</w:t>
      </w:r>
    </w:p>
    <w:p>
      <w:pPr>
        <w:pStyle w:val="ListBullet"/>
      </w:pPr>
      <w:r>
        <w:t>Named operational and professional owners</w:t>
      </w:r>
    </w:p>
    <w:p>
      <w:pPr>
        <w:pStyle w:val="ListBullet"/>
      </w:pPr>
      <w:r>
        <w:t>Stop, incident and change arrangements</w:t>
      </w:r>
    </w:p>
    <w:p>
      <w:pPr>
        <w:pStyle w:val="ListBullet"/>
      </w:pPr>
      <w:r>
        <w:t>A dated next decision approved by the firm</w:t>
      </w:r>
    </w:p>
    <w:p>
      <w:pPr>
        <w:pStyle w:val="Heading2"/>
      </w:pPr>
      <w:r>
        <w:t>Applying the ideas to an investment</w:t>
      </w:r>
    </w:p>
    <w:p>
      <w:r>
        <w:t>Ask what user problem is evidenced, what models and data rights the business depends on, how performance was evaluated, what human-review costs remain and how it handles changes or provider exit. Request evidence that could disprove the investment story. Use Investment AI Due Diligence.txt as an optional discussion aid.</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KLAi Professional Learning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Firm Implementation Playbook</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