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for Finance Practice</w:t>
      </w:r>
    </w:p>
    <w:p>
      <w:pPr>
        <w:pStyle w:val="Subtitle"/>
      </w:pPr>
      <w:r>
        <w:t>Personalised learning roadmap for Rose, Finance Manager, BIK Capital Kampala</w:t>
        <w:br/>
        <w:t>Prepared by Jotham Martin Wambi, KLAi  |  15 October 2026</w:t>
      </w:r>
    </w:p>
    <w:p>
      <w:r>
        <w:t>This programme focuses on reducing the manual effort in finance oversight and reporting while keeping Rose in control of the numbers, business judgments and approvals. The main project is a repeatable monthly reporting workflow, selected with Rose after an assessment of her current work.</w:t>
      </w:r>
    </w:p>
    <w:p>
      <w:pPr>
        <w:pStyle w:val="Heading1"/>
      </w:pPr>
      <w:r>
        <w:t>What you should leave with</w:t>
      </w:r>
    </w:p>
    <w:p>
      <w:pPr>
        <w:pStyle w:val="ListBullet"/>
        <w:spacing w:after="80"/>
      </w:pPr>
      <w:r>
        <w:t>A reporting workbook that refreshes from a defined set of exports and shows the checks required before use.</w:t>
      </w:r>
    </w:p>
    <w:p>
      <w:pPr>
        <w:pStyle w:val="ListBullet"/>
        <w:spacing w:after="80"/>
      </w:pPr>
      <w:r>
        <w:t>A draft management report with figures traceable to verified calculations, plus a record of questions that need investigation.</w:t>
      </w:r>
    </w:p>
    <w:p>
      <w:pPr>
        <w:pStyle w:val="ListBullet"/>
        <w:spacing w:after="80"/>
      </w:pPr>
      <w:r>
        <w:t>One tested automation for a recurring task, supported by a simple operating guide and a manual fallback.</w:t>
      </w:r>
    </w:p>
    <w:p>
      <w:pPr>
        <w:pStyle w:val="ListBullet"/>
        <w:spacing w:after="80"/>
      </w:pPr>
      <w:r>
        <w:t>A reusable set of finance prompts, a data handling checklist and a personal plan for applying the skills at work.</w:t>
      </w:r>
    </w:p>
    <w:p>
      <w:pPr>
        <w:pStyle w:val="Heading1"/>
      </w:pPr>
      <w:r>
        <w:t>Proposed format</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Element</w:t>
            </w:r>
          </w:p>
        </w:tc>
        <w:tc>
          <w:tcPr>
            <w:tcW w:type="dxa" w:w="7992"/>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Proposal</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Teaching</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Ten sessions of 90 minutes, with guided practice in every session.</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Frequency</w:t>
            </w:r>
          </w:p>
        </w:tc>
        <w:tc>
          <w:tcPr>
            <w:tcW w:type="dxa" w:w="79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Two or three sessions per week, normally over four to five weeks.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Practice and support</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Allow 45 to 60 minutes between sessions. Two one-hour clinics support the first supervised reporting runs.</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Starting point</w:t>
            </w:r>
          </w:p>
        </w:tc>
        <w:tc>
          <w:tcPr>
            <w:tcW w:type="dxa" w:w="79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Excel and Claude, which Rose already uses. ChatGPT and Codex are introduced for suitable tasks. No prior coding is required.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Scope confirmation</w:t>
            </w:r>
          </w:p>
        </w:tc>
        <w:tc>
          <w:tcPr>
            <w:tcW w:type="dxa" w:w="79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Session times, delivery format, software access, fees and support dates will be agreed after the assessment.</w:t>
            </w:r>
          </w:p>
        </w:tc>
      </w:tr>
    </w:tbl>
    <w:p>
      <w:pPr>
        <w:spacing w:after="20"/>
      </w:pPr>
    </w:p>
    <w:p>
      <w:pPr>
        <w:pStyle w:val="Heading1"/>
      </w:pPr>
      <w:r>
        <w:t>How we will work</w:t>
      </w:r>
    </w:p>
    <w:p>
      <w:r>
        <w:t>We will practise with fictional finance data first. Work with BIK Capital information will begin only after the appropriate internal owner approves the tool, account and data scope. The accounting system remains the source of record. Rose or the designated reviewer approves every report before circulation.</w:t>
      </w:r>
    </w:p>
    <w:p>
      <w:r>
        <w:br w:type="page"/>
      </w:r>
    </w:p>
    <w:p>
      <w:pPr>
        <w:pStyle w:val="Heading1"/>
      </w:pPr>
      <w:r>
        <w:t>Study roadmap sessions one to five</w:t>
      </w:r>
    </w:p>
    <w:p>
      <w:r>
        <w:t>Each session ends with a saved work product. Exercises feed into the reporting project, rather than remaining separate tool demonstrations.</w:t>
      </w:r>
    </w:p>
    <w:p>
      <w:pPr>
        <w:pStyle w:val="Heading2"/>
      </w:pPr>
      <w:r>
        <w:t>1  Workflow discovery and safe AI use</w:t>
      </w:r>
    </w:p>
    <w:p>
      <w:r>
        <w:t>Map a recurring report from source export to approval. Compare AI assistance, fixed spreadsheet rules and tasks that require professional judgment. Establish the manual baseline and classify the data.</w:t>
      </w:r>
    </w:p>
    <w:p>
      <w:r>
        <w:rPr>
          <w:b/>
        </w:rPr>
        <w:t xml:space="preserve">Work product: </w:t>
      </w:r>
      <w:r>
        <w:t>A workflow map, agreed project scope and a safe practice dataset.</w:t>
      </w:r>
    </w:p>
    <w:p>
      <w:r>
        <w:rPr>
          <w:b/>
        </w:rPr>
        <w:t xml:space="preserve">Completion check: </w:t>
      </w:r>
      <w:r>
        <w:t>Explain which data can be used and where human approval is required.</w:t>
      </w:r>
    </w:p>
    <w:p>
      <w:pPr>
        <w:pStyle w:val="Heading2"/>
      </w:pPr>
      <w:r>
        <w:t>2  Finance prompts with Claude and ChatGPT</w:t>
      </w:r>
    </w:p>
    <w:p>
      <w:r>
        <w:t>Give the assistant a clear task, input definitions, accounting context and output format. Ask it to separate observations from assumptions. Practise checking source references and rejecting invented explanations.</w:t>
      </w:r>
    </w:p>
    <w:p>
      <w:r>
        <w:rPr>
          <w:b/>
        </w:rPr>
        <w:t xml:space="preserve">Work product: </w:t>
      </w:r>
      <w:r>
        <w:t>A small prompt library for analysis, review and report drafting.</w:t>
      </w:r>
    </w:p>
    <w:p>
      <w:r>
        <w:rPr>
          <w:b/>
        </w:rPr>
        <w:t xml:space="preserve">Completion check: </w:t>
      </w:r>
      <w:r>
        <w:t>Trace every figure in a draft paragraph to a source; flag an unsupported claim.</w:t>
      </w:r>
    </w:p>
    <w:p>
      <w:pPr>
        <w:pStyle w:val="Heading2"/>
      </w:pPr>
      <w:r>
        <w:t>3  AI assistance inside Excel</w:t>
      </w:r>
    </w:p>
    <w:p>
      <w:r>
        <w:t>Use the approved spreadsheet assistant to explain formulas, build calculations and investigate errors in a copy of a workbook. Compare AI suggestions with direct Excel formulas and manual checks.</w:t>
      </w:r>
    </w:p>
    <w:p>
      <w:r>
        <w:rPr>
          <w:b/>
        </w:rPr>
        <w:t xml:space="preserve">Work product: </w:t>
      </w:r>
      <w:r>
        <w:t>A budget versus actual workbook with a checks sheet.</w:t>
      </w:r>
    </w:p>
    <w:p>
      <w:r>
        <w:rPr>
          <w:b/>
        </w:rPr>
        <w:t xml:space="preserve">Completion check: </w:t>
      </w:r>
      <w:r>
        <w:t>Verify formulas, signs, ranges, dates and currency; explain a failed check.</w:t>
      </w:r>
    </w:p>
    <w:p>
      <w:pPr>
        <w:pStyle w:val="Heading2"/>
      </w:pPr>
      <w:r>
        <w:t>4  Repeatable data preparation</w:t>
      </w:r>
    </w:p>
    <w:p>
      <w:r>
        <w:t>Use Excel tables and Power Query where supported to combine monthly exports, standardise columns and surface exceptions. Use AI to help write or explain transformations, then preserve the agreed rules.</w:t>
      </w:r>
    </w:p>
    <w:p>
      <w:r>
        <w:rPr>
          <w:b/>
        </w:rPr>
        <w:t xml:space="preserve">Work product: </w:t>
      </w:r>
      <w:r>
        <w:t>A refreshable import with mapping rules and an exception list.</w:t>
      </w:r>
    </w:p>
    <w:p>
      <w:r>
        <w:rPr>
          <w:b/>
        </w:rPr>
        <w:t xml:space="preserve">Completion check: </w:t>
      </w:r>
      <w:r>
        <w:t>A new file refreshes correctly; unexpected columns or unmapped accounts are flagged.</w:t>
      </w:r>
    </w:p>
    <w:p>
      <w:pPr>
        <w:pStyle w:val="Heading2"/>
      </w:pPr>
      <w:r>
        <w:t>5  Reconciliations and exception review</w:t>
      </w:r>
    </w:p>
    <w:p>
      <w:r>
        <w:t>Build a candidate match or exception list for a suitable finance task. Work through duplicates, missing references, timing differences and ambiguous matches. Automation proposes; the finance reviewer resolves exceptions.</w:t>
      </w:r>
    </w:p>
    <w:p>
      <w:r>
        <w:rPr>
          <w:b/>
        </w:rPr>
        <w:t xml:space="preserve">Work product: </w:t>
      </w:r>
      <w:r>
        <w:t>A reconciliation working paper or exception review template.</w:t>
      </w:r>
    </w:p>
    <w:p>
      <w:r>
        <w:rPr>
          <w:b/>
        </w:rPr>
        <w:t xml:space="preserve">Completion check: </w:t>
      </w:r>
      <w:r>
        <w:t>Uncertain matches stay open, source totals reconcile and repeat runs do not duplicate results.</w:t>
      </w:r>
    </w:p>
    <w:p>
      <w:r>
        <w:br w:type="page"/>
      </w:r>
    </w:p>
    <w:p>
      <w:pPr>
        <w:pStyle w:val="Heading1"/>
      </w:pPr>
      <w:r>
        <w:t>Study roadmap sessions six to ten</w:t>
      </w:r>
    </w:p>
    <w:p>
      <w:pPr>
        <w:pStyle w:val="Heading2"/>
      </w:pPr>
      <w:r>
        <w:t>6  Management reporting and planning</w:t>
      </w:r>
    </w:p>
    <w:p>
      <w:r>
        <w:t>Build a concise report from verified totals, with material variances, cash or cost trends and follow-up questions. Explore a simple scenario model with explicit assumptions and sensitivity checks.</w:t>
      </w:r>
    </w:p>
    <w:p>
      <w:r>
        <w:rPr>
          <w:b/>
        </w:rPr>
        <w:t xml:space="preserve">Work product: </w:t>
      </w:r>
      <w:r>
        <w:t>A report draft and a scenario worksheet.</w:t>
      </w:r>
    </w:p>
    <w:p>
      <w:r>
        <w:rPr>
          <w:b/>
        </w:rPr>
        <w:t xml:space="preserve">Completion check: </w:t>
      </w:r>
      <w:r>
        <w:t>No invented causes, forecasts or policies. Every number is traceable; assumptions remain visible.</w:t>
      </w:r>
    </w:p>
    <w:p>
      <w:pPr>
        <w:pStyle w:val="Heading2"/>
      </w:pPr>
      <w:r>
        <w:t>7  Repeatable file work with Codex</w:t>
      </w:r>
    </w:p>
    <w:p>
      <w:r>
        <w:t>Describe a bounded task such as validating exports or consolidating files. Review a proposed script, restrict it to a practice folder and run it on copies. Learn how to read errors and request a controlled change.</w:t>
      </w:r>
    </w:p>
    <w:p>
      <w:r>
        <w:rPr>
          <w:b/>
        </w:rPr>
        <w:t xml:space="preserve">Work product: </w:t>
      </w:r>
      <w:r>
        <w:t>A tested script or workbook-based alternative, with run instructions.</w:t>
      </w:r>
    </w:p>
    <w:p>
      <w:r>
        <w:rPr>
          <w:b/>
        </w:rPr>
        <w:t xml:space="preserve">Completion check: </w:t>
      </w:r>
      <w:r>
        <w:t>A fresh batch produces the expected output without changing source files.</w:t>
      </w:r>
    </w:p>
    <w:p>
      <w:pPr>
        <w:pStyle w:val="Heading2"/>
      </w:pPr>
      <w:r>
        <w:t>8  Workflow automation and computer use</w:t>
      </w:r>
    </w:p>
    <w:p>
      <w:r>
        <w:t>Design a trigger, validation step, output location and human approval. Where IT permits, build a small flow using approved connectors. Demonstrate computer use in an isolated test environment, with stop points before consequential actions.</w:t>
      </w:r>
    </w:p>
    <w:p>
      <w:r>
        <w:rPr>
          <w:b/>
        </w:rPr>
        <w:t xml:space="preserve">Work product: </w:t>
      </w:r>
      <w:r>
        <w:t>One automation prototype with an approval and recovery plan.</w:t>
      </w:r>
    </w:p>
    <w:p>
      <w:r>
        <w:rPr>
          <w:b/>
        </w:rPr>
        <w:t xml:space="preserve">Completion check: </w:t>
      </w:r>
      <w:r>
        <w:t>A failed validation blocks release; a repeat run creates no duplicate action.</w:t>
      </w:r>
    </w:p>
    <w:p>
      <w:pPr>
        <w:pStyle w:val="Heading2"/>
      </w:pPr>
      <w:r>
        <w:t>9  Capstone build and operating controls</w:t>
      </w:r>
    </w:p>
    <w:p>
      <w:r>
        <w:t>Connect the agreed import, checks and report output. Add a run log, version history, exceptions and a rollback procedure. Test changed inputs, missing files and an untrusted instruction embedded in a sample document.</w:t>
      </w:r>
    </w:p>
    <w:p>
      <w:r>
        <w:rPr>
          <w:b/>
        </w:rPr>
        <w:t xml:space="preserve">Work product: </w:t>
      </w:r>
      <w:r>
        <w:t>An integrated reporting workflow and operating guide.</w:t>
      </w:r>
    </w:p>
    <w:p>
      <w:r>
        <w:rPr>
          <w:b/>
        </w:rPr>
        <w:t xml:space="preserve">Completion check: </w:t>
      </w:r>
      <w:r>
        <w:t>The workflow stops safely on bad inputs and ignores instructions embedded in source content.</w:t>
      </w:r>
    </w:p>
    <w:p>
      <w:pPr>
        <w:pStyle w:val="Heading2"/>
      </w:pPr>
      <w:r>
        <w:t>10  Independent run and handover</w:t>
      </w:r>
    </w:p>
    <w:p>
      <w:r>
        <w:t>Rose runs the workflow on a fresh unseen batch, reviews the results and explains the limits. Compare end-to-end time including checking and corrections. Identify the next suitable task for improvement.</w:t>
      </w:r>
    </w:p>
    <w:p>
      <w:r>
        <w:rPr>
          <w:b/>
        </w:rPr>
        <w:t xml:space="preserve">Work product: </w:t>
      </w:r>
      <w:r>
        <w:t>A reviewed capstone, measured results and a 30-day adoption plan.</w:t>
      </w:r>
    </w:p>
    <w:p>
      <w:r>
        <w:rPr>
          <w:b/>
        </w:rPr>
        <w:t xml:space="preserve">Completion check: </w:t>
      </w:r>
      <w:r>
        <w:t>Rose can refresh, validate and recover the workflow without the trainer operating it.</w:t>
      </w:r>
    </w:p>
    <w:p>
      <w:r>
        <w:br w:type="page"/>
      </w:r>
    </w:p>
    <w:p>
      <w:pPr>
        <w:pStyle w:val="Heading1"/>
      </w:pPr>
      <w:r>
        <w:t>The reporting project and evidence of progress</w:t>
      </w:r>
    </w:p>
    <w:p>
      <w:r>
        <w:t>The proposed capstone is a monthly management reporting workflow. The final choice may instead be an expense analysis, a cash reporting process or a reconciliation task if discovery shows that it offers more value and a safer starting point.</w:t>
      </w:r>
    </w:p>
    <w:p>
      <w:pPr>
        <w:pStyle w:val="Heading2"/>
      </w:pPr>
      <w:r>
        <w:t>Proposed workflow</w:t>
      </w:r>
    </w:p>
    <w:p>
      <w:r>
        <w:t>1. Save an approved export in a defined input folder and preserve the original.</w:t>
      </w:r>
    </w:p>
    <w:p>
      <w:r>
        <w:t>2. Validate period, currency, required columns and row counts. Record the source filenames.</w:t>
      </w:r>
    </w:p>
    <w:p>
      <w:r>
        <w:t>3. Apply agreed mappings and transformations. Send missing or ambiguous items to an exceptions sheet.</w:t>
      </w:r>
    </w:p>
    <w:p>
      <w:r>
        <w:t>4. Calculate the report using explicit formulas or tested code. Reconcile to the source totals.</w:t>
      </w:r>
    </w:p>
    <w:p>
      <w:r>
        <w:t>5. Ask AI to draft commentary from the verified output, identifying evidence and unresolved questions.</w:t>
      </w:r>
    </w:p>
    <w:p>
      <w:r>
        <w:t>6. Have the finance reviewer resolve exceptions and approve the report before distribution.</w:t>
      </w:r>
    </w:p>
    <w:p>
      <w:r>
        <w:t>7. Save the output, review evidence and run log. Retain a manual fallback and restore point.</w:t>
      </w:r>
    </w:p>
    <w:p>
      <w:pPr>
        <w:pStyle w:val="Heading2"/>
      </w:pPr>
      <w:r>
        <w:t>What success must demonstrate</w:t>
      </w:r>
    </w:p>
    <w:tbl>
      <w:tblPr>
        <w:tblW w:type="auto" w:w="0"/>
        <w:jc w:val="center"/>
        <w:tblLayout w:type="fixed"/>
        <w:tblLook w:firstColumn="1" w:firstRow="1" w:lastColumn="0" w:lastRow="0" w:noHBand="0" w:noVBand="1" w:val="04A0"/>
      </w:tblPr>
      <w:tblGrid>
        <w:gridCol w:w="1728"/>
        <w:gridCol w:w="8352"/>
      </w:tblGrid>
      <w:tr>
        <w:trPr>
          <w:cantSplit/>
          <w:tblHeader/>
        </w:trPr>
        <w:tc>
          <w:tcPr>
            <w:tcW w:type="dxa" w:w="1728"/>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Area</w:t>
            </w:r>
          </w:p>
        </w:tc>
        <w:tc>
          <w:tcPr>
            <w:tcW w:type="dxa" w:w="8352"/>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Evidence required</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Accuracy</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All defined control totals reconcile within the agreed rounding tolerance. Unresolved exceptions block final release.</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Traceability</w:t>
            </w:r>
          </w:p>
        </w:tc>
        <w:tc>
          <w:tcPr>
            <w:tcW w:type="dxa" w:w="835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 reviewer can trace each reported figure to its source and calculation. Commentary distinguishes evidence from hypotheses.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Repeatability</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 fresh unseen period runs correctly. Repeating the same input does not double-count or duplicate an action.</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Control</w:t>
            </w:r>
          </w:p>
        </w:tc>
        <w:tc>
          <w:tcPr>
            <w:tcW w:type="dxa" w:w="835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Source files stay intact. Permissions, approvals, versioning and a recovery procedure are documented and tested.</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Independence</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Rose completes an unseen run and explains how to handle a missing input or failed check.</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Value</w:t>
            </w:r>
          </w:p>
        </w:tc>
        <w:tc>
          <w:tcPr>
            <w:tcW w:type="dxa" w:w="835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Compare manual time with assisted time including review, corrections and reruns. Agree a target after measuring the baseline.</w:t>
            </w:r>
          </w:p>
        </w:tc>
      </w:tr>
    </w:tbl>
    <w:p>
      <w:pPr>
        <w:spacing w:after="20"/>
      </w:pPr>
    </w:p>
    <w:p>
      <w:pPr>
        <w:pStyle w:val="Heading2"/>
      </w:pPr>
      <w:r>
        <w:t>Follow through at work</w:t>
      </w:r>
    </w:p>
    <w:p>
      <w:r>
        <w:t>Clinic one reviews the first supervised run. Clinic two reviews a later run and any recurring exceptions. At 30 days, review actual use, report quality, review effort, software costs and who will maintain the workflow. Any wider rollout follows that review; time savings are measured rather than promised.</w:t>
      </w:r>
    </w:p>
    <w:p>
      <w:r>
        <w:br w:type="page"/>
      </w:r>
    </w:p>
    <w:p>
      <w:pPr>
        <w:pStyle w:val="Heading1"/>
      </w:pPr>
      <w:r>
        <w:t>Workplace privacy and responsible use</w:t>
      </w:r>
    </w:p>
    <w:p>
      <w:r>
        <w:t>Every lab includes a control check. The following practices form a proposed working standard for the course; BIK Capital must approve its own policy and decide which tools and data are permitted.</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Risk</w:t>
            </w:r>
          </w:p>
        </w:tc>
        <w:tc>
          <w:tcPr>
            <w:tcW w:type="dxa" w:w="770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Practical mitigation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Confidential or personal data in a prompt</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fictional data first. Minimise fields, replace identifiers and check for identifying details in free text. Pseudonymised data can still identify people.</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Assuming a paid or local tool is private</w:t>
            </w:r>
          </w:p>
        </w:tc>
        <w:tc>
          <w:tcPr>
            <w:tcW w:type="dxa" w:w="77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Check the exact account, plan, add-in, processing location, retention, training settings and contract. Local files or code execution do not make cloud AI processing offline.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Overshared files and connected accounts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approved work accounts, MFA and narrowly scoped folders. Check existing file permissions before connecting a tool. Do not share passwords, tokens or banking credentials.</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Hidden instructions in documents</w:t>
            </w:r>
          </w:p>
        </w:tc>
        <w:tc>
          <w:tcPr>
            <w:tcW w:type="dxa" w:w="77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Treat files, emails and web content as data. Use trusted copies, restrict tool access and test that embedded instructions cannot trigger an upload or action.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Incorrect figures or plausible commentary</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Recompute independently and reconcile source totals. Check periods, signs and currency. Require evidence for narrative claims and record unresolved questions.</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Uncontrolled actions or repeated flows</w:t>
            </w:r>
          </w:p>
        </w:tc>
        <w:tc>
          <w:tcPr>
            <w:tcW w:type="dxa" w:w="77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 test environment, approvals, unique run identifiers and logs. Stop on failed checks. Preserve originals and test a recovery path.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External publication or financial decisions</w:t>
            </w:r>
          </w:p>
        </w:tc>
        <w:tc>
          <w:tcPr>
            <w:tcW w:type="dxa" w:w="77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Keep report circulation, ledger postings, supplier bank changes, payments and statutory submissions outside autonomous training workflows. A designated human owns these actions.</w:t>
            </w:r>
          </w:p>
        </w:tc>
      </w:tr>
    </w:tbl>
    <w:p>
      <w:pPr>
        <w:spacing w:after="20"/>
      </w:pPr>
    </w:p>
    <w:p>
      <w:pPr>
        <w:pStyle w:val="Heading2"/>
      </w:pPr>
      <w:r>
        <w:t>Data approval before live use</w:t>
      </w:r>
    </w:p>
    <w:p>
      <w:r>
        <w:t>The designated privacy or legal owner should assess Ugandan data protection requirements, cross-border processing, contractual confidentiality and any sector-specific duties before company information enters an AI service. This course teaches risk awareness and working controls; it does not provide a compliance certification.</w:t>
      </w:r>
    </w:p>
    <w:p>
      <w:pPr>
        <w:pStyle w:val="Heading2"/>
      </w:pPr>
      <w:r>
        <w:t>If something goes wrong</w:t>
      </w:r>
    </w:p>
    <w:p>
      <w:r>
        <w:t>Stop the workflow, restrict further access or sharing and preserve the run log. Notify the designated internal contact promptly. Follow the organisation’s incident procedure for containment, assessment and any required notifications. Do not ask the AI tool to decide whether a breach must be reported.</w:t>
      </w:r>
    </w:p>
    <w:p>
      <w:r>
        <w:br w:type="page"/>
      </w:r>
    </w:p>
    <w:p>
      <w:pPr>
        <w:pStyle w:val="Heading1"/>
      </w:pPr>
      <w:r>
        <w:t>Tool selection and preparation</w:t>
      </w:r>
    </w:p>
    <w:p>
      <w:r>
        <w:t>Choose one primary assistant after checking availability and internal approval. The learning outcomes should remain useful if a particular add-in or subscription is unavailable.</w:t>
      </w:r>
    </w:p>
    <w:tbl>
      <w:tblPr>
        <w:tblW w:type="auto" w:w="0"/>
        <w:jc w:val="center"/>
        <w:tblLayout w:type="fixed"/>
        <w:tblLook w:firstColumn="1" w:firstRow="1" w:lastColumn="0" w:lastRow="0" w:noHBand="0" w:noVBand="1" w:val="04A0"/>
      </w:tblPr>
      <w:tblGrid>
        <w:gridCol w:w="1944"/>
        <w:gridCol w:w="4104"/>
        <w:gridCol w:w="4032"/>
      </w:tblGrid>
      <w:tr>
        <w:trPr>
          <w:cantSplit/>
          <w:tblHeader/>
        </w:trPr>
        <w:tc>
          <w:tcPr>
            <w:tcW w:type="dxa" w:w="194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Tool or method</w:t>
            </w:r>
          </w:p>
        </w:tc>
        <w:tc>
          <w:tcPr>
            <w:tcW w:type="dxa" w:w="4104"/>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Role in this course</w:t>
            </w:r>
          </w:p>
        </w:tc>
        <w:tc>
          <w:tcPr>
            <w:tcW w:type="dxa" w:w="4032"/>
            <w:vAlign w:val="center"/>
            <w:shd w:fill="1738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b/>
                <w:color w:val="FFFFFF"/>
                <w:sz w:val="21"/>
              </w:rPr>
              <w:t>Preparation check</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Excel and Power Query</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Repeatable calculations, data preparation and refreshes. AI can assist with their creation.</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Confirm Excel version, operating system, query support and workbook storage.</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Claude and Claude for Excel</w:t>
            </w:r>
          </w:p>
        </w:tc>
        <w:tc>
          <w:tcPr>
            <w:tcW w:type="dxa" w:w="41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Primary assistant for formula explanations, workbook work and evidence-based report drafting.</w:t>
            </w:r>
          </w:p>
        </w:tc>
        <w:tc>
          <w:tcPr>
            <w:tcW w:type="dxa" w:w="40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Confirm account and add-in approval. Check the add-in’s own retention and logging terms.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ChatGPT</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An alternative for analysis, drafting and comparing how well an output follows the same brief.</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the approved work account and permitted data scope.</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Codex</w:t>
            </w:r>
          </w:p>
        </w:tc>
        <w:tc>
          <w:tcPr>
            <w:tcW w:type="dxa" w:w="41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Help create or review a bounded file-processing script and supporting checks.</w:t>
            </w:r>
          </w:p>
        </w:tc>
        <w:tc>
          <w:tcPr>
            <w:tcW w:type="dxa" w:w="40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Confirm installation, workspace access, execution permissions and maintenance owner.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Power Automate or equivalent</w:t>
            </w:r>
          </w:p>
        </w:tc>
        <w:tc>
          <w:tcPr>
            <w:tcW w:type="dxa" w:w="41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An approved trigger, draft output and human review process.</w:t>
            </w:r>
          </w:p>
        </w:tc>
        <w:tc>
          <w:tcPr>
            <w:tcW w:type="dxa" w:w="40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Check licences, connectors, environments, ownership and failure notifications.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Computer use</w:t>
            </w:r>
          </w:p>
        </w:tc>
        <w:tc>
          <w:tcPr>
            <w:tcW w:type="dxa" w:w="410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Supervised demonstration of browser or desktop tasks when a reliable structured route is unavailable.</w:t>
            </w:r>
          </w:p>
        </w:tc>
        <w:tc>
          <w:tcPr>
            <w:tcW w:type="dxa" w:w="403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5" w:lineRule="auto"/>
            </w:pPr>
            <w:r>
              <w:rPr>
                <w:rFonts w:ascii="Arial" w:hAnsi="Arial"/>
                <w:sz w:val="21"/>
              </w:rPr>
              <w:t>Use a separate test environment and limited access. Implementation may require IT support.</w:t>
            </w:r>
          </w:p>
        </w:tc>
      </w:tr>
    </w:tbl>
    <w:p>
      <w:pPr>
        <w:spacing w:after="20"/>
      </w:pPr>
    </w:p>
    <w:p>
      <w:r>
        <w:t>Before session one, complete the assessment, identify one recurring report and nominate its reviewer. Agree who may see practice outputs. Software subscriptions, specialist integration and production deployment require separate scoping; no vendor plan or price is assumed here.</w:t>
      </w:r>
    </w:p>
    <w:p>
      <w:pPr>
        <w:pStyle w:val="Heading2"/>
      </w:pPr>
      <w:r>
        <w:t>Official references</w:t>
      </w:r>
    </w:p>
    <w:p>
      <w:pPr>
        <w:spacing w:after="80"/>
      </w:pPr>
      <w:hyperlink r:id="rId10">
        <w:r>
          <w:rPr>
            <w:sz w:val="18"/>
            <w:color w:val="175B85"/>
            <w:u w:val="single"/>
          </w:rPr>
          <w:t>Claude for Excel capabilities and limits</w:t>
        </w:r>
      </w:hyperlink>
    </w:p>
    <w:p>
      <w:pPr>
        <w:spacing w:after="80"/>
      </w:pPr>
      <w:hyperlink r:id="rId11">
        <w:r>
          <w:rPr>
            <w:sz w:val="18"/>
            <w:color w:val="175B85"/>
            <w:u w:val="single"/>
          </w:rPr>
          <w:t>Anthropic commercial training policy</w:t>
        </w:r>
      </w:hyperlink>
    </w:p>
    <w:p>
      <w:pPr>
        <w:spacing w:after="80"/>
      </w:pPr>
      <w:hyperlink r:id="rId12">
        <w:r>
          <w:rPr>
            <w:sz w:val="18"/>
            <w:color w:val="175B85"/>
            <w:u w:val="single"/>
          </w:rPr>
          <w:t>Anthropic commercial retention policy</w:t>
        </w:r>
      </w:hyperlink>
    </w:p>
    <w:p>
      <w:pPr>
        <w:spacing w:after="80"/>
      </w:pPr>
      <w:hyperlink r:id="rId13">
        <w:r>
          <w:rPr>
            <w:sz w:val="18"/>
            <w:color w:val="175B85"/>
            <w:u w:val="single"/>
          </w:rPr>
          <w:t>Microsoft Copilot data privacy and permissions</w:t>
        </w:r>
      </w:hyperlink>
    </w:p>
    <w:p>
      <w:pPr>
        <w:spacing w:after="80"/>
      </w:pPr>
      <w:hyperlink r:id="rId14">
        <w:r>
          <w:rPr>
            <w:sz w:val="18"/>
            <w:color w:val="175B85"/>
            <w:u w:val="single"/>
          </w:rPr>
          <w:t>Microsoft Power Query overview</w:t>
        </w:r>
      </w:hyperlink>
    </w:p>
    <w:p>
      <w:pPr>
        <w:spacing w:after="80"/>
      </w:pPr>
      <w:hyperlink r:id="rId15">
        <w:r>
          <w:rPr>
            <w:sz w:val="18"/>
            <w:color w:val="175B85"/>
            <w:u w:val="single"/>
          </w:rPr>
          <w:t>Power Automate approvals</w:t>
        </w:r>
      </w:hyperlink>
    </w:p>
    <w:p>
      <w:pPr>
        <w:spacing w:after="80"/>
      </w:pPr>
      <w:hyperlink r:id="rId16">
        <w:r>
          <w:rPr>
            <w:sz w:val="18"/>
            <w:color w:val="175B85"/>
            <w:u w:val="single"/>
          </w:rPr>
          <w:t>OpenAI agent approvals and security</w:t>
        </w:r>
      </w:hyperlink>
    </w:p>
    <w:p>
      <w:pPr>
        <w:spacing w:after="80"/>
      </w:pPr>
      <w:hyperlink r:id="rId17">
        <w:r>
          <w:rPr>
            <w:sz w:val="18"/>
            <w:color w:val="175B85"/>
            <w:u w:val="single"/>
          </w:rPr>
          <w:t>Anthropic computer use isolation and controls</w:t>
        </w:r>
      </w:hyperlink>
    </w:p>
    <w:p>
      <w:pPr>
        <w:spacing w:after="80"/>
      </w:pPr>
      <w:hyperlink r:id="rId18">
        <w:r>
          <w:rPr>
            <w:sz w:val="18"/>
            <w:color w:val="175B85"/>
            <w:u w:val="single"/>
          </w:rPr>
          <w:t>Uganda Personal Data Protection Office</w:t>
        </w:r>
      </w:hyperlink>
    </w:p>
    <w:p>
      <w:r>
        <w:t>Product references checked 15 October 2026. Availability and contractual controls must be checked again against the actual account before training.</w:t>
      </w:r>
    </w:p>
    <w:sectPr w:rsidR="00FC693F" w:rsidRPr="0006063C" w:rsidSect="00034616">
      <w:footerReference w:type="default" r:id="rId9"/>
      <w:pgSz w:w="12240" w:h="15840"/>
      <w:pgMar w:top="936" w:right="1037" w:bottom="936"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KLAi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aude.com/docs/office-agents/excel" TargetMode="External"/><Relationship Id="rId11" Type="http://schemas.openxmlformats.org/officeDocument/2006/relationships/hyperlink" Target="https://privacy.claude.com/en/articles/7996868-is-my-data-used-for-model-training" TargetMode="External"/><Relationship Id="rId12" Type="http://schemas.openxmlformats.org/officeDocument/2006/relationships/hyperlink" Target="https://privacy.claude.com/en/articles/7996866-how-long-do-you-store-my-organization-s-data" TargetMode="External"/><Relationship Id="rId13" Type="http://schemas.openxmlformats.org/officeDocument/2006/relationships/hyperlink" Target="https://learn.microsoft.com/en-us/microsoft-365/copilot/microsoft-365-copilot-privacy" TargetMode="External"/><Relationship Id="rId14" Type="http://schemas.openxmlformats.org/officeDocument/2006/relationships/hyperlink" Target="https://learn.microsoft.com/en-us/power-query/power-query-what-is-power-query" TargetMode="External"/><Relationship Id="rId15" Type="http://schemas.openxmlformats.org/officeDocument/2006/relationships/hyperlink" Target="https://learn.microsoft.com/en-us/power-automate/modern-approvals" TargetMode="External"/><Relationship Id="rId16" Type="http://schemas.openxmlformats.org/officeDocument/2006/relationships/hyperlink" Target="https://learn.chatgpt.com/docs/agent-approvals-security" TargetMode="External"/><Relationship Id="rId17" Type="http://schemas.openxmlformats.org/officeDocument/2006/relationships/hyperlink" Target="https://platform.claude.com/docs/en/agents-and-tools/tool-use/browser-use-sdk" TargetMode="External"/><Relationship Id="rId18" Type="http://schemas.openxmlformats.org/officeDocument/2006/relationships/hyperlink" Target="https://pdpo.go.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Finance Practice</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