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60"/>
      </w:pPr>
    </w:p>
    <w:p>
      <w:pPr>
        <w:spacing w:after="400" w:before="0" w:line="276" w:lineRule="auto"/>
        <w:jc w:val="center"/>
      </w:pPr>
      <w:r>
        <w:rPr>
          <w:rFonts w:ascii="Calibri" w:hAnsi="Calibri"/>
          <w:b/>
          <w:i w:val="0"/>
          <w:color w:val="2E5C8A"/>
          <w:sz w:val="21"/>
        </w:rPr>
        <w:t>INTERNATIONAL UNIVERSITY OF EAST AFRICA · FACULTY OF ENGINEERING</w:t>
      </w:r>
    </w:p>
    <w:p>
      <w:pPr>
        <w:spacing w:after="80" w:before="0" w:line="276" w:lineRule="auto"/>
        <w:jc w:val="center"/>
      </w:pPr>
      <w:r>
        <w:rPr>
          <w:rFonts w:ascii="Calibri" w:hAnsi="Calibri"/>
          <w:b/>
          <w:i w:val="0"/>
          <w:color w:val="1F3864"/>
          <w:sz w:val="50"/>
        </w:rPr>
        <w:t>Benchmarked Against the Field</w:t>
      </w:r>
    </w:p>
    <w:p>
      <w:pPr>
        <w:spacing w:after="360" w:before="0" w:line="276" w:lineRule="auto"/>
        <w:jc w:val="center"/>
      </w:pPr>
      <w:r>
        <w:rPr>
          <w:rFonts w:ascii="Calibri" w:hAnsi="Calibri"/>
          <w:b w:val="0"/>
          <w:i w:val="0"/>
          <w:color w:val="2E5C8A"/>
          <w:sz w:val="26"/>
        </w:rPr>
        <w:t>The two-semester course mapped node by node onto the roadmap.sh Machine Learning roadmap</w:t>
      </w:r>
    </w:p>
    <w:p>
      <w:pPr>
        <w:spacing w:after="160" w:before="160" w:line="276" w:lineRule="auto"/>
        <w:jc w:val="center"/>
        <w:pBdr>
          <w:top w:val="single" w:sz="10" w:space="8" w:color="1F3864"/>
          <w:bottom w:val="single" w:sz="10" w:space="8" w:color="1F3864"/>
        </w:pBdr>
      </w:pPr>
      <w:r>
        <w:rPr>
          <w:rFonts w:ascii="Calibri" w:hAnsi="Calibri"/>
          <w:b/>
          <w:i w:val="0"/>
          <w:sz w:val="22"/>
        </w:rPr>
        <w:t>WHAT WE TEACH  ·  WHAT WE DEFER  ·  WHAT WE DO NOT TEACH AT ALL</w:t>
      </w:r>
    </w:p>
    <w:p>
      <w:pPr>
        <w:spacing w:after="360"/>
      </w:pPr>
    </w:p>
    <w:p>
      <w:pPr>
        <w:spacing w:after="60" w:before="0" w:line="276" w:lineRule="auto"/>
        <w:jc w:val="center"/>
      </w:pPr>
      <w:r>
        <w:rPr>
          <w:rFonts w:ascii="Calibri" w:hAnsi="Calibri"/>
          <w:b w:val="0"/>
          <w:i w:val="0"/>
          <w:color w:val="595959"/>
          <w:sz w:val="19"/>
        </w:rPr>
        <w:t>Source: roadmap.sh/machine-learning · Machine Learning Roadmap, retrieved September 2026</w:t>
      </w:r>
    </w:p>
    <w:p>
      <w:pPr>
        <w:spacing w:after="160" w:before="0" w:line="276" w:lineRule="auto"/>
        <w:jc w:val="center"/>
      </w:pPr>
      <w:r>
        <w:rPr>
          <w:rFonts w:ascii="Calibri" w:hAnsi="Calibri"/>
          <w:b w:val="0"/>
          <w:i/>
          <w:color w:val="595959"/>
          <w:sz w:val="19"/>
        </w:rPr>
        <w:t>Version 1.0 · September 2026</w:t>
      </w:r>
    </w:p>
    <w:p>
      <w:r>
        <w:br w:type="page"/>
      </w:r>
    </w:p>
    <w:p>
      <w:pPr>
        <w:pStyle w:val="Heading1"/>
      </w:pPr>
      <w:r>
        <w:t>Contents</w:t>
      </w:r>
    </w:p>
    <w:p>
      <w:r>
        <w:fldChar w:fldCharType="begin"/>
        <w:instrText xml:space="preserve">TOC \o "1-2" \h \z \u</w:instrText>
        <w:fldChar w:fldCharType="separate"/>
        <w:t>[To generate the contents list: open in Word, click here, then press F9 — or use References ▸ Update Table.]</w:t>
        <w:fldChar w:fldCharType="end"/>
      </w:r>
    </w:p>
    <w:p>
      <w:r>
        <w:br w:type="page"/>
      </w:r>
    </w:p>
    <w:p>
      <w:pPr>
        <w:pStyle w:val="Heading1"/>
      </w:pPr>
      <w:r>
        <w:t>1. Why benchmark against a public roadmap</w:t>
      </w:r>
    </w:p>
    <w:p>
      <w:pPr>
        <w:spacing w:after="160" w:before="0" w:line="276" w:lineRule="auto"/>
      </w:pPr>
      <w:r>
        <w:rPr>
          <w:rFonts w:ascii="Calibri" w:hAnsi="Calibri"/>
          <w:b w:val="0"/>
          <w:i w:val="0"/>
          <w:sz w:val="21"/>
        </w:rPr>
        <w:t>A syllabus written in isolation is impossible for a student to place. They cannot tell whether what they are being taught is the whole field, a sensible subset of it, or an idiosyncratic selection. Benchmarking the course against roadmap.sh answers that question honestly and in public.</w:t>
      </w:r>
    </w:p>
    <w:p>
      <w:pPr>
        <w:spacing w:after="160" w:before="0" w:line="276" w:lineRule="auto"/>
      </w:pPr>
      <w:r>
        <w:rPr>
          <w:rFonts w:ascii="Calibri" w:hAnsi="Calibri"/>
          <w:b w:val="0"/>
          <w:i w:val="0"/>
          <w:sz w:val="21"/>
        </w:rPr>
        <w:t>It does three useful things. It shows students where they are on a map the profession actually uses, rather than one their lecturer invented. It makes the gaps explicit, so nobody finishes the year believing they have covered reinforcement learning or MLOps when they have not. And it gives the self-directed students a route onwards, because roadmap.sh publishes separate roadmaps for the AI engineer, the data scientist, MLOps and AI agents.</w:t>
      </w:r>
    </w:p>
    <w:tbl>
      <w:tblPr>
        <w:tblW w:type="auto" w:w="0"/>
        <w:jc w:val="center"/>
        <w:tblLayout w:type="fixed"/>
        <w:tblLook w:firstColumn="1" w:firstRow="1" w:lastColumn="0" w:lastRow="0" w:noHBand="0" w:noVBand="1" w:val="04A0"/>
        <w:tblBorders>
          <w:top w:val="single" w:sz="6" w:space="0" w:color="2E5C8A"/>
          <w:bottom w:val="single" w:sz="6" w:space="0" w:color="2E5C8A"/>
          <w:left w:val="single" w:sz="24" w:space="0" w:color="2E5C8A"/>
          <w:right w:val="single" w:sz="6" w:space="0" w:color="2E5C8A"/>
        </w:tblBorders>
      </w:tblPr>
      <w:tblGrid>
        <w:gridCol w:w="9746"/>
      </w:tblGrid>
      <w:tr>
        <w:tc>
          <w:tcPr>
            <w:tcW w:type="dxa" w:w="9746"/>
            <w:tcMar>
              <w:top w:w="110" w:type="dxa"/>
              <w:start w:w="170" w:type="dxa"/>
              <w:bottom w:w="110" w:type="dxa"/>
              <w:end w:w="140" w:type="dxa"/>
            </w:tcMar>
            <w:shd w:val="clear" w:color="auto" w:fill="D9E2F3"/>
          </w:tcPr>
          <w:p>
            <w:pPr>
              <w:spacing w:after="60"/>
            </w:pPr>
            <w:r>
              <w:rPr>
                <w:rFonts w:ascii="Calibri" w:hAnsi="Calibri"/>
                <w:b/>
                <w:color w:val="2E5C8A"/>
                <w:sz w:val="19"/>
              </w:rPr>
              <w:t>The finding that matters most for this cohort</w:t>
            </w:r>
          </w:p>
          <w:p>
            <w:pPr>
              <w:spacing w:after="0" w:line="269" w:lineRule="auto"/>
            </w:pPr>
            <w:r>
              <w:rPr>
                <w:rFonts w:ascii="Calibri" w:hAnsi="Calibri"/>
                <w:sz w:val="20"/>
              </w:rPr>
              <w:t>The roadmap places mathematical foundations — calculus, linear algebra, statistics, probability — as a major early stage, and for people entering machine learning from computing it is the hardest one. These students completed it in Years 1 and 2 of an engineering degree. They are not beginning at the start of the roadmap; they are beginning at stage 3 with stage 2 already behind them. That is worth telling them in Week 1, because it inverts the assumption that this field belongs to computer scientists.</w:t>
            </w:r>
          </w:p>
        </w:tc>
      </w:tr>
    </w:tbl>
    <w:p>
      <w:pPr>
        <w:spacing w:after="160"/>
      </w:pPr>
    </w:p>
    <w:p>
      <w:pPr>
        <w:pStyle w:val="Heading1"/>
      </w:pPr>
      <w:r>
        <w:t>2. The roadmap, and where the course sits on it</w:t>
      </w:r>
    </w:p>
    <w:p>
      <w:pPr>
        <w:spacing w:after="160" w:before="0" w:line="276" w:lineRule="auto"/>
      </w:pPr>
      <w:r>
        <w:rPr>
          <w:rFonts w:ascii="Calibri" w:hAnsi="Calibri"/>
          <w:b w:val="0"/>
          <w:i w:val="0"/>
          <w:sz w:val="21"/>
        </w:rPr>
        <w:t>The figure below is issued to students in Week 1 as part of the opening session. Orange is Semester 1, green is Semester 2, dark blue is the stage they already hold from their degree, and grey is what the course does not teach.</w:t>
      </w:r>
    </w:p>
    <w:p>
      <w:r>
        <w:drawing>
          <wp:inline xmlns:a="http://schemas.openxmlformats.org/drawingml/2006/main" xmlns:pic="http://schemas.openxmlformats.org/drawingml/2006/picture">
            <wp:extent cx="6309360" cy="3312189"/>
            <wp:docPr id="1" name="Picture 1"/>
            <wp:cNvGraphicFramePr>
              <a:graphicFrameLocks noChangeAspect="1"/>
            </wp:cNvGraphicFramePr>
            <a:graphic>
              <a:graphicData uri="http://schemas.openxmlformats.org/drawingml/2006/picture">
                <pic:pic>
                  <pic:nvPicPr>
                    <pic:cNvPr id="0" name="roadmap_journey.png"/>
                    <pic:cNvPicPr/>
                  </pic:nvPicPr>
                  <pic:blipFill>
                    <a:blip r:embed="rId11"/>
                    <a:stretch>
                      <a:fillRect/>
                    </a:stretch>
                  </pic:blipFill>
                  <pic:spPr>
                    <a:xfrm>
                      <a:off x="0" y="0"/>
                      <a:ext cx="6309360" cy="3312189"/>
                    </a:xfrm>
                    <a:prstGeom prst="rect"/>
                  </pic:spPr>
                </pic:pic>
              </a:graphicData>
            </a:graphic>
          </wp:inline>
        </w:drawing>
      </w:r>
    </w:p>
    <w:p>
      <w:pPr>
        <w:spacing w:after="120"/>
      </w:pPr>
    </w:p>
    <w:p>
      <w:pPr>
        <w:spacing w:after="160" w:before="0" w:line="276" w:lineRule="auto"/>
      </w:pPr>
      <w:r>
        <w:rPr>
          <w:rFonts w:ascii="Calibri" w:hAnsi="Calibri"/>
          <w:b w:val="0"/>
          <w:i/>
          <w:color w:val="595959"/>
          <w:sz w:val="19"/>
        </w:rPr>
        <w:t>Figure 1 — the fifteen teaching stages, grouped from the roadmap.sh Machine Learning roadmap and colour-coded by when this course reaches them.</w:t>
      </w:r>
    </w:p>
    <w:p>
      <w:pPr>
        <w:spacing w:after="200"/>
      </w:pPr>
    </w:p>
    <w:p>
      <w:r>
        <w:drawing>
          <wp:inline xmlns:a="http://schemas.openxmlformats.org/drawingml/2006/main" xmlns:pic="http://schemas.openxmlformats.org/drawingml/2006/picture">
            <wp:extent cx="6309360" cy="2807226"/>
            <wp:docPr id="2" name="Picture 2"/>
            <wp:cNvGraphicFramePr>
              <a:graphicFrameLocks noChangeAspect="1"/>
            </wp:cNvGraphicFramePr>
            <a:graphic>
              <a:graphicData uri="http://schemas.openxmlformats.org/drawingml/2006/picture">
                <pic:pic>
                  <pic:nvPicPr>
                    <pic:cNvPr id="0" name="roadmap_coverage.png"/>
                    <pic:cNvPicPr/>
                  </pic:nvPicPr>
                  <pic:blipFill>
                    <a:blip r:embed="rId12"/>
                    <a:stretch>
                      <a:fillRect/>
                    </a:stretch>
                  </pic:blipFill>
                  <pic:spPr>
                    <a:xfrm>
                      <a:off x="0" y="0"/>
                      <a:ext cx="6309360" cy="2807226"/>
                    </a:xfrm>
                    <a:prstGeom prst="rect"/>
                  </pic:spPr>
                </pic:pic>
              </a:graphicData>
            </a:graphic>
          </wp:inline>
        </w:drawing>
      </w:r>
    </w:p>
    <w:p>
      <w:pPr>
        <w:spacing w:after="120"/>
      </w:pPr>
    </w:p>
    <w:p>
      <w:pPr>
        <w:spacing w:after="160" w:before="0" w:line="276" w:lineRule="auto"/>
      </w:pPr>
      <w:r>
        <w:rPr>
          <w:rFonts w:ascii="Calibri" w:hAnsi="Calibri"/>
          <w:b w:val="0"/>
          <w:i/>
          <w:color w:val="595959"/>
          <w:sz w:val="19"/>
        </w:rPr>
        <w:t>Figure 2 — proportional coverage by roadmap section. The grey is the honest gap.</w:t>
      </w:r>
    </w:p>
    <w:p>
      <w:r>
        <w:br w:type="page"/>
      </w:r>
    </w:p>
    <w:p>
      <w:pPr>
        <w:pStyle w:val="Heading1"/>
      </w:pPr>
      <w:r>
        <w:t>3. Node-by-node mapping</w:t>
      </w:r>
    </w:p>
    <w:p>
      <w:pPr>
        <w:spacing w:after="160" w:before="0" w:line="276" w:lineRule="auto"/>
      </w:pPr>
      <w:r>
        <w:rPr>
          <w:rFonts w:ascii="Calibri" w:hAnsi="Calibri"/>
          <w:b w:val="0"/>
          <w:i w:val="0"/>
          <w:sz w:val="21"/>
        </w:rPr>
        <w:t>The roadmap's own headings are used verbatim in the left column so the mapping can be checked against the source. Where a node is covered only in part, the part we cover is named.</w:t>
      </w:r>
    </w:p>
    <w:p>
      <w:pPr>
        <w:pStyle w:val="Heading2"/>
      </w:pPr>
      <w:r>
        <w:t>Prerequisites and introduction</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2923"/>
        <w:gridCol w:w="1364"/>
        <w:gridCol w:w="5457"/>
      </w:tblGrid>
      <w:tr>
        <w:trPr>
          <w:tblHeader w:val="true"/>
        </w:trPr>
        <w:tc>
          <w:tcPr>
            <w:tcW w:type="dxa" w:w="2924"/>
            <w:shd w:val="clear" w:color="auto" w:fill="1F3864"/>
            <w:tcMar>
              <w:top w:w="60" w:type="dxa"/>
              <w:start w:w="90" w:type="dxa"/>
              <w:bottom w:w="60" w:type="dxa"/>
              <w:end w:w="90" w:type="dxa"/>
            </w:tcMar>
          </w:tcPr>
          <w:p>
            <w:pPr>
              <w:spacing w:after="0" w:line="240" w:lineRule="auto"/>
            </w:pPr>
            <w:r>
              <w:rPr>
                <w:rFonts w:ascii="Calibri" w:hAnsi="Calibri"/>
                <w:b/>
                <w:color w:val="FFFFFF"/>
                <w:sz w:val="17"/>
              </w:rPr>
              <w:t>roadmap.sh node</w:t>
            </w:r>
          </w:p>
        </w:tc>
        <w:tc>
          <w:tcPr>
            <w:tcW w:type="dxa" w:w="1364"/>
            <w:shd w:val="clear" w:color="auto" w:fill="1F3864"/>
            <w:tcMar>
              <w:top w:w="60" w:type="dxa"/>
              <w:start w:w="90" w:type="dxa"/>
              <w:bottom w:w="60" w:type="dxa"/>
              <w:end w:w="90" w:type="dxa"/>
            </w:tcMar>
          </w:tcPr>
          <w:p>
            <w:pPr>
              <w:spacing w:after="0" w:line="240" w:lineRule="auto"/>
            </w:pPr>
            <w:r>
              <w:rPr>
                <w:rFonts w:ascii="Calibri" w:hAnsi="Calibri"/>
                <w:b/>
                <w:color w:val="FFFFFF"/>
                <w:sz w:val="17"/>
              </w:rPr>
              <w:t>Status</w:t>
            </w:r>
          </w:p>
        </w:tc>
        <w:tc>
          <w:tcPr>
            <w:tcW w:type="dxa" w:w="5458"/>
            <w:shd w:val="clear" w:color="auto" w:fill="1F3864"/>
            <w:tcMar>
              <w:top w:w="60" w:type="dxa"/>
              <w:start w:w="90" w:type="dxa"/>
              <w:bottom w:w="60" w:type="dxa"/>
              <w:end w:w="90" w:type="dxa"/>
            </w:tcMar>
          </w:tcPr>
          <w:p>
            <w:pPr>
              <w:spacing w:after="0" w:line="240" w:lineRule="auto"/>
            </w:pPr>
            <w:r>
              <w:rPr>
                <w:rFonts w:ascii="Calibri" w:hAnsi="Calibri"/>
                <w:b/>
                <w:color w:val="FFFFFF"/>
                <w:sz w:val="17"/>
              </w:rPr>
              <w:t>Where, and what we actually do</w:t>
            </w:r>
          </w:p>
        </w:tc>
      </w:tr>
      <w:tr>
        <w:tc>
          <w:tcPr>
            <w:tcW w:type="dxa" w:w="2924"/>
            <w:tcMar>
              <w:top w:w="60" w:type="dxa"/>
              <w:start w:w="90" w:type="dxa"/>
              <w:bottom w:w="60" w:type="dxa"/>
              <w:end w:w="90" w:type="dxa"/>
            </w:tcMar>
          </w:tcPr>
          <w:p>
            <w:pPr>
              <w:spacing w:after="0" w:line="252" w:lineRule="auto"/>
            </w:pPr>
            <w:r>
              <w:rPr>
                <w:rFonts w:ascii="Calibri" w:hAnsi="Calibri"/>
                <w:b/>
                <w:sz w:val="17"/>
              </w:rPr>
              <w:t>Python Roadmap (prerequisite)</w:t>
            </w:r>
          </w:p>
        </w:tc>
        <w:tc>
          <w:tcPr>
            <w:tcW w:type="dxa" w:w="1364"/>
            <w:tcMar>
              <w:top w:w="60" w:type="dxa"/>
              <w:start w:w="90" w:type="dxa"/>
              <w:bottom w:w="60" w:type="dxa"/>
              <w:end w:w="90" w:type="dxa"/>
            </w:tcMar>
          </w:tcPr>
          <w:p>
            <w:pPr>
              <w:spacing w:after="0" w:line="252" w:lineRule="auto"/>
            </w:pPr>
            <w:r>
              <w:rPr>
                <w:rFonts w:ascii="Calibri" w:hAnsi="Calibri"/>
                <w:sz w:val="17"/>
              </w:rPr>
              <w:t>SEMESTER 1</w:t>
            </w:r>
          </w:p>
        </w:tc>
        <w:tc>
          <w:tcPr>
            <w:tcW w:type="dxa" w:w="5458"/>
            <w:tcMar>
              <w:top w:w="60" w:type="dxa"/>
              <w:start w:w="90" w:type="dxa"/>
              <w:bottom w:w="60" w:type="dxa"/>
              <w:end w:w="90" w:type="dxa"/>
            </w:tcMar>
          </w:tcPr>
          <w:p>
            <w:pPr>
              <w:spacing w:after="0" w:line="252" w:lineRule="auto"/>
            </w:pPr>
            <w:r>
              <w:rPr>
                <w:rFonts w:ascii="Calibri" w:hAnsi="Calibri"/>
                <w:sz w:val="17"/>
              </w:rPr>
              <w:t>Weeks 2–4 build Python from zero using engineering formulas the students already know. We do not attempt the full Python roadmap — no decorators, generators, async or packaging.</w:t>
            </w:r>
          </w:p>
        </w:tc>
      </w:tr>
      <w:tr>
        <w:tc>
          <w:tcPr>
            <w:tcW w:type="dxa" w:w="2924"/>
            <w:tcMar>
              <w:top w:w="60" w:type="dxa"/>
              <w:start w:w="90" w:type="dxa"/>
              <w:bottom w:w="60" w:type="dxa"/>
              <w:end w:w="90" w:type="dxa"/>
            </w:tcMar>
            <w:shd w:val="clear" w:color="auto" w:fill="F2F5FB"/>
          </w:tcPr>
          <w:p>
            <w:pPr>
              <w:spacing w:after="0" w:line="252" w:lineRule="auto"/>
            </w:pPr>
            <w:r>
              <w:rPr>
                <w:rFonts w:ascii="Calibri" w:hAnsi="Calibri"/>
                <w:b/>
                <w:sz w:val="17"/>
              </w:rPr>
              <w:t>What is an ML Engineer? · ML vs AI Engineer · Skills and responsibilities</w:t>
            </w:r>
          </w:p>
        </w:tc>
        <w:tc>
          <w:tcPr>
            <w:tcW w:type="dxa" w:w="1364"/>
            <w:tcMar>
              <w:top w:w="60" w:type="dxa"/>
              <w:start w:w="90" w:type="dxa"/>
              <w:bottom w:w="60" w:type="dxa"/>
              <w:end w:w="90" w:type="dxa"/>
            </w:tcMar>
            <w:shd w:val="clear" w:color="auto" w:fill="F2F5FB"/>
          </w:tcPr>
          <w:p>
            <w:pPr>
              <w:spacing w:after="0" w:line="252" w:lineRule="auto"/>
            </w:pPr>
            <w:r>
              <w:rPr>
                <w:rFonts w:ascii="Calibri" w:hAnsi="Calibri"/>
                <w:sz w:val="17"/>
              </w:rPr>
              <w:t>SEMESTER 1</w:t>
            </w:r>
          </w:p>
        </w:tc>
        <w:tc>
          <w:tcPr>
            <w:tcW w:type="dxa" w:w="5458"/>
            <w:tcMar>
              <w:top w:w="60" w:type="dxa"/>
              <w:start w:w="90" w:type="dxa"/>
              <w:bottom w:w="60" w:type="dxa"/>
              <w:end w:w="90" w:type="dxa"/>
            </w:tcMar>
            <w:shd w:val="clear" w:color="auto" w:fill="F2F5FB"/>
          </w:tcPr>
          <w:p>
            <w:pPr>
              <w:spacing w:after="0" w:line="252" w:lineRule="auto"/>
            </w:pPr>
            <w:r>
              <w:rPr>
                <w:rFonts w:ascii="Calibri" w:hAnsi="Calibri"/>
                <w:sz w:val="17"/>
              </w:rPr>
              <w:t>Week 1, the new roadmap segment. All four career tracks are shown and the course's position is stated explicitly: ML applied inside your own engineering discipline.</w:t>
            </w:r>
          </w:p>
        </w:tc>
      </w:tr>
    </w:tbl>
    <w:p>
      <w:pPr>
        <w:pStyle w:val="Heading2"/>
      </w:pPr>
      <w:r>
        <w:t>Mathematical foundations</w:t>
      </w:r>
    </w:p>
    <w:p>
      <w:pPr>
        <w:spacing w:after="160" w:before="0" w:line="276" w:lineRule="auto"/>
      </w:pPr>
      <w:r>
        <w:rPr>
          <w:rFonts w:ascii="Calibri" w:hAnsi="Calibri"/>
          <w:b w:val="0"/>
          <w:i w:val="0"/>
          <w:sz w:val="21"/>
        </w:rPr>
        <w:t>This whole section is the students' existing strength rather than a gap, which is the single most important observation in this benchmark. We do not re-teach it; we use it and name it when it appears.</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2923"/>
        <w:gridCol w:w="1364"/>
        <w:gridCol w:w="5457"/>
      </w:tblGrid>
      <w:tr>
        <w:trPr>
          <w:tblHeader w:val="true"/>
        </w:trPr>
        <w:tc>
          <w:tcPr>
            <w:tcW w:type="dxa" w:w="2924"/>
            <w:shd w:val="clear" w:color="auto" w:fill="1F3864"/>
            <w:tcMar>
              <w:top w:w="60" w:type="dxa"/>
              <w:start w:w="90" w:type="dxa"/>
              <w:bottom w:w="60" w:type="dxa"/>
              <w:end w:w="90" w:type="dxa"/>
            </w:tcMar>
          </w:tcPr>
          <w:p>
            <w:pPr>
              <w:spacing w:after="0" w:line="240" w:lineRule="auto"/>
            </w:pPr>
            <w:r>
              <w:rPr>
                <w:rFonts w:ascii="Calibri" w:hAnsi="Calibri"/>
                <w:b/>
                <w:color w:val="FFFFFF"/>
                <w:sz w:val="17"/>
              </w:rPr>
              <w:t>roadmap.sh node</w:t>
            </w:r>
          </w:p>
        </w:tc>
        <w:tc>
          <w:tcPr>
            <w:tcW w:type="dxa" w:w="1364"/>
            <w:shd w:val="clear" w:color="auto" w:fill="1F3864"/>
            <w:tcMar>
              <w:top w:w="60" w:type="dxa"/>
              <w:start w:w="90" w:type="dxa"/>
              <w:bottom w:w="60" w:type="dxa"/>
              <w:end w:w="90" w:type="dxa"/>
            </w:tcMar>
          </w:tcPr>
          <w:p>
            <w:pPr>
              <w:spacing w:after="0" w:line="240" w:lineRule="auto"/>
            </w:pPr>
            <w:r>
              <w:rPr>
                <w:rFonts w:ascii="Calibri" w:hAnsi="Calibri"/>
                <w:b/>
                <w:color w:val="FFFFFF"/>
                <w:sz w:val="17"/>
              </w:rPr>
              <w:t>Status</w:t>
            </w:r>
          </w:p>
        </w:tc>
        <w:tc>
          <w:tcPr>
            <w:tcW w:type="dxa" w:w="5458"/>
            <w:shd w:val="clear" w:color="auto" w:fill="1F3864"/>
            <w:tcMar>
              <w:top w:w="60" w:type="dxa"/>
              <w:start w:w="90" w:type="dxa"/>
              <w:bottom w:w="60" w:type="dxa"/>
              <w:end w:w="90" w:type="dxa"/>
            </w:tcMar>
          </w:tcPr>
          <w:p>
            <w:pPr>
              <w:spacing w:after="0" w:line="240" w:lineRule="auto"/>
            </w:pPr>
            <w:r>
              <w:rPr>
                <w:rFonts w:ascii="Calibri" w:hAnsi="Calibri"/>
                <w:b/>
                <w:color w:val="FFFFFF"/>
                <w:sz w:val="17"/>
              </w:rPr>
              <w:t>Where, and what we actually do</w:t>
            </w:r>
          </w:p>
        </w:tc>
      </w:tr>
      <w:tr>
        <w:tc>
          <w:tcPr>
            <w:tcW w:type="dxa" w:w="2924"/>
            <w:tcMar>
              <w:top w:w="60" w:type="dxa"/>
              <w:start w:w="90" w:type="dxa"/>
              <w:bottom w:w="60" w:type="dxa"/>
              <w:end w:w="90" w:type="dxa"/>
            </w:tcMar>
          </w:tcPr>
          <w:p>
            <w:pPr>
              <w:spacing w:after="0" w:line="252" w:lineRule="auto"/>
            </w:pPr>
            <w:r>
              <w:rPr>
                <w:rFonts w:ascii="Calibri" w:hAnsi="Calibri"/>
                <w:b/>
                <w:sz w:val="17"/>
              </w:rPr>
              <w:t>Calculus — derivatives, partial derivatives, chain rule, gradient, Jacobian, Hessian</w:t>
            </w:r>
          </w:p>
        </w:tc>
        <w:tc>
          <w:tcPr>
            <w:tcW w:type="dxa" w:w="1364"/>
            <w:tcMar>
              <w:top w:w="60" w:type="dxa"/>
              <w:start w:w="90" w:type="dxa"/>
              <w:bottom w:w="60" w:type="dxa"/>
              <w:end w:w="90" w:type="dxa"/>
            </w:tcMar>
          </w:tcPr>
          <w:p>
            <w:pPr>
              <w:spacing w:after="0" w:line="252" w:lineRule="auto"/>
            </w:pPr>
            <w:r>
              <w:rPr>
                <w:rFonts w:ascii="Calibri" w:hAnsi="Calibri"/>
                <w:sz w:val="17"/>
              </w:rPr>
              <w:t>ALREADY HAVE</w:t>
            </w:r>
          </w:p>
        </w:tc>
        <w:tc>
          <w:tcPr>
            <w:tcW w:type="dxa" w:w="5458"/>
            <w:tcMar>
              <w:top w:w="60" w:type="dxa"/>
              <w:start w:w="90" w:type="dxa"/>
              <w:bottom w:w="60" w:type="dxa"/>
              <w:end w:w="90" w:type="dxa"/>
            </w:tcMar>
          </w:tcPr>
          <w:p>
            <w:pPr>
              <w:spacing w:after="0" w:line="252" w:lineRule="auto"/>
            </w:pPr>
            <w:r>
              <w:rPr>
                <w:rFonts w:ascii="Calibri" w:hAnsi="Calibri"/>
                <w:sz w:val="17"/>
              </w:rPr>
              <w:t>Held from Years 1–2. Referenced in Semester 2 when gradient descent and back-propagation appear. We never derive it from scratch.</w:t>
            </w:r>
          </w:p>
        </w:tc>
      </w:tr>
      <w:tr>
        <w:tc>
          <w:tcPr>
            <w:tcW w:type="dxa" w:w="2924"/>
            <w:tcMar>
              <w:top w:w="60" w:type="dxa"/>
              <w:start w:w="90" w:type="dxa"/>
              <w:bottom w:w="60" w:type="dxa"/>
              <w:end w:w="90" w:type="dxa"/>
            </w:tcMar>
            <w:shd w:val="clear" w:color="auto" w:fill="F2F5FB"/>
          </w:tcPr>
          <w:p>
            <w:pPr>
              <w:spacing w:after="0" w:line="252" w:lineRule="auto"/>
            </w:pPr>
            <w:r>
              <w:rPr>
                <w:rFonts w:ascii="Calibri" w:hAnsi="Calibri"/>
                <w:b/>
                <w:sz w:val="17"/>
              </w:rPr>
              <w:t>Linear algebra — matrices and operations, scalars/vectors/tensors, SVD, determinants, eigenvalues</w:t>
            </w:r>
          </w:p>
        </w:tc>
        <w:tc>
          <w:tcPr>
            <w:tcW w:type="dxa" w:w="1364"/>
            <w:tcMar>
              <w:top w:w="60" w:type="dxa"/>
              <w:start w:w="90" w:type="dxa"/>
              <w:bottom w:w="60" w:type="dxa"/>
              <w:end w:w="90" w:type="dxa"/>
            </w:tcMar>
            <w:shd w:val="clear" w:color="auto" w:fill="F2F5FB"/>
          </w:tcPr>
          <w:p>
            <w:pPr>
              <w:spacing w:after="0" w:line="252" w:lineRule="auto"/>
            </w:pPr>
            <w:r>
              <w:rPr>
                <w:rFonts w:ascii="Calibri" w:hAnsi="Calibri"/>
                <w:sz w:val="17"/>
              </w:rPr>
              <w:t>ALREADY HAVE</w:t>
            </w:r>
          </w:p>
        </w:tc>
        <w:tc>
          <w:tcPr>
            <w:tcW w:type="dxa" w:w="5458"/>
            <w:tcMar>
              <w:top w:w="60" w:type="dxa"/>
              <w:start w:w="90" w:type="dxa"/>
              <w:bottom w:w="60" w:type="dxa"/>
              <w:end w:w="90" w:type="dxa"/>
            </w:tcMar>
            <w:shd w:val="clear" w:color="auto" w:fill="F2F5FB"/>
          </w:tcPr>
          <w:p>
            <w:pPr>
              <w:spacing w:after="0" w:line="252" w:lineRule="auto"/>
            </w:pPr>
            <w:r>
              <w:rPr>
                <w:rFonts w:ascii="Calibri" w:hAnsi="Calibri"/>
                <w:sz w:val="17"/>
              </w:rPr>
              <w:t>Held from Years 1–2. Matrix shape is used constantly from Week 5 onwards. SVD and eigen-decomposition are used implicitly inside PCA in Semester 2 but not derived.</w:t>
            </w:r>
          </w:p>
        </w:tc>
      </w:tr>
      <w:tr>
        <w:tc>
          <w:tcPr>
            <w:tcW w:type="dxa" w:w="2924"/>
            <w:tcMar>
              <w:top w:w="60" w:type="dxa"/>
              <w:start w:w="90" w:type="dxa"/>
              <w:bottom w:w="60" w:type="dxa"/>
              <w:end w:w="90" w:type="dxa"/>
            </w:tcMar>
          </w:tcPr>
          <w:p>
            <w:pPr>
              <w:spacing w:after="0" w:line="252" w:lineRule="auto"/>
            </w:pPr>
            <w:r>
              <w:rPr>
                <w:rFonts w:ascii="Calibri" w:hAnsi="Calibri"/>
                <w:b/>
                <w:sz w:val="17"/>
              </w:rPr>
              <w:t>Statistics — descriptive, inferential, graphs and charts</w:t>
            </w:r>
          </w:p>
        </w:tc>
        <w:tc>
          <w:tcPr>
            <w:tcW w:type="dxa" w:w="1364"/>
            <w:tcMar>
              <w:top w:w="60" w:type="dxa"/>
              <w:start w:w="90" w:type="dxa"/>
              <w:bottom w:w="60" w:type="dxa"/>
              <w:end w:w="90" w:type="dxa"/>
            </w:tcMar>
          </w:tcPr>
          <w:p>
            <w:pPr>
              <w:spacing w:after="0" w:line="252" w:lineRule="auto"/>
            </w:pPr>
            <w:r>
              <w:rPr>
                <w:rFonts w:ascii="Calibri" w:hAnsi="Calibri"/>
                <w:sz w:val="17"/>
              </w:rPr>
              <w:t>ALREADY HAVE</w:t>
            </w:r>
          </w:p>
        </w:tc>
        <w:tc>
          <w:tcPr>
            <w:tcW w:type="dxa" w:w="5458"/>
            <w:tcMar>
              <w:top w:w="60" w:type="dxa"/>
              <w:start w:w="90" w:type="dxa"/>
              <w:bottom w:w="60" w:type="dxa"/>
              <w:end w:w="90" w:type="dxa"/>
            </w:tcMar>
          </w:tcPr>
          <w:p>
            <w:pPr>
              <w:spacing w:after="0" w:line="252" w:lineRule="auto"/>
            </w:pPr>
            <w:r>
              <w:rPr>
                <w:rFonts w:ascii="Calibri" w:hAnsi="Calibri"/>
                <w:sz w:val="17"/>
              </w:rPr>
              <w:t>Held, and reinforced practically in Week 6 (distributions, outliers, correlation) rather than taught as theory.</w:t>
            </w:r>
          </w:p>
        </w:tc>
      </w:tr>
      <w:tr>
        <w:tc>
          <w:tcPr>
            <w:tcW w:type="dxa" w:w="2924"/>
            <w:tcMar>
              <w:top w:w="60" w:type="dxa"/>
              <w:start w:w="90" w:type="dxa"/>
              <w:bottom w:w="60" w:type="dxa"/>
              <w:end w:w="90" w:type="dxa"/>
            </w:tcMar>
            <w:shd w:val="clear" w:color="auto" w:fill="F2F5FB"/>
          </w:tcPr>
          <w:p>
            <w:pPr>
              <w:spacing w:after="0" w:line="252" w:lineRule="auto"/>
            </w:pPr>
            <w:r>
              <w:rPr>
                <w:rFonts w:ascii="Calibri" w:hAnsi="Calibri"/>
                <w:b/>
                <w:sz w:val="17"/>
              </w:rPr>
              <w:t>Probability — basics, Bayes theorem, random variables, PDFs, distributions</w:t>
            </w:r>
          </w:p>
        </w:tc>
        <w:tc>
          <w:tcPr>
            <w:tcW w:type="dxa" w:w="1364"/>
            <w:tcMar>
              <w:top w:w="60" w:type="dxa"/>
              <w:start w:w="90" w:type="dxa"/>
              <w:bottom w:w="60" w:type="dxa"/>
              <w:end w:w="90" w:type="dxa"/>
            </w:tcMar>
            <w:shd w:val="clear" w:color="auto" w:fill="F2F5FB"/>
          </w:tcPr>
          <w:p>
            <w:pPr>
              <w:spacing w:after="0" w:line="252" w:lineRule="auto"/>
            </w:pPr>
            <w:r>
              <w:rPr>
                <w:rFonts w:ascii="Calibri" w:hAnsi="Calibri"/>
                <w:sz w:val="17"/>
              </w:rPr>
              <w:t>ALREADY HAVE</w:t>
            </w:r>
          </w:p>
        </w:tc>
        <w:tc>
          <w:tcPr>
            <w:tcW w:type="dxa" w:w="5458"/>
            <w:tcMar>
              <w:top w:w="60" w:type="dxa"/>
              <w:start w:w="90" w:type="dxa"/>
              <w:bottom w:w="60" w:type="dxa"/>
              <w:end w:w="90" w:type="dxa"/>
            </w:tcMar>
            <w:shd w:val="clear" w:color="auto" w:fill="F2F5FB"/>
          </w:tcPr>
          <w:p>
            <w:pPr>
              <w:spacing w:after="0" w:line="252" w:lineRule="auto"/>
            </w:pPr>
            <w:r>
              <w:rPr>
                <w:rFonts w:ascii="Calibri" w:hAnsi="Calibri"/>
                <w:sz w:val="17"/>
              </w:rPr>
              <w:t>Held. Used when class imbalance and probability outputs appear in Week 9. Bayes is not taught as a topic and no naive Bayes classifier is covered.</w:t>
            </w:r>
          </w:p>
        </w:tc>
      </w:tr>
      <w:tr>
        <w:tc>
          <w:tcPr>
            <w:tcW w:type="dxa" w:w="2924"/>
            <w:tcMar>
              <w:top w:w="60" w:type="dxa"/>
              <w:start w:w="90" w:type="dxa"/>
              <w:bottom w:w="60" w:type="dxa"/>
              <w:end w:w="90" w:type="dxa"/>
            </w:tcMar>
          </w:tcPr>
          <w:p>
            <w:pPr>
              <w:spacing w:after="0" w:line="252" w:lineRule="auto"/>
            </w:pPr>
            <w:r>
              <w:rPr>
                <w:rFonts w:ascii="Calibri" w:hAnsi="Calibri"/>
                <w:b/>
                <w:sz w:val="17"/>
              </w:rPr>
              <w:t>Discrete mathematics</w:t>
            </w:r>
          </w:p>
        </w:tc>
        <w:tc>
          <w:tcPr>
            <w:tcW w:type="dxa" w:w="1364"/>
            <w:tcMar>
              <w:top w:w="60" w:type="dxa"/>
              <w:start w:w="90" w:type="dxa"/>
              <w:bottom w:w="60" w:type="dxa"/>
              <w:end w:w="90" w:type="dxa"/>
            </w:tcMar>
          </w:tcPr>
          <w:p>
            <w:pPr>
              <w:spacing w:after="0" w:line="252" w:lineRule="auto"/>
            </w:pPr>
            <w:r>
              <w:rPr>
                <w:rFonts w:ascii="Calibri" w:hAnsi="Calibri"/>
                <w:sz w:val="17"/>
              </w:rPr>
              <w:t>NOT COVERED</w:t>
            </w:r>
          </w:p>
        </w:tc>
        <w:tc>
          <w:tcPr>
            <w:tcW w:type="dxa" w:w="5458"/>
            <w:tcMar>
              <w:top w:w="60" w:type="dxa"/>
              <w:start w:w="90" w:type="dxa"/>
              <w:bottom w:w="60" w:type="dxa"/>
              <w:end w:w="90" w:type="dxa"/>
            </w:tcMar>
          </w:tcPr>
          <w:p>
            <w:pPr>
              <w:spacing w:after="0" w:line="252" w:lineRule="auto"/>
            </w:pPr>
            <w:r>
              <w:rPr>
                <w:rFonts w:ascii="Calibri" w:hAnsi="Calibri"/>
                <w:sz w:val="17"/>
              </w:rPr>
              <w:t>Not needed for anything in this course.</w:t>
            </w:r>
          </w:p>
        </w:tc>
      </w:tr>
    </w:tbl>
    <w:p>
      <w:pPr>
        <w:pStyle w:val="Heading2"/>
      </w:pPr>
      <w:r>
        <w:t>Programming fundamentals and libraries</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2923"/>
        <w:gridCol w:w="1364"/>
        <w:gridCol w:w="5457"/>
      </w:tblGrid>
      <w:tr>
        <w:trPr>
          <w:tblHeader w:val="true"/>
        </w:trPr>
        <w:tc>
          <w:tcPr>
            <w:tcW w:type="dxa" w:w="2924"/>
            <w:shd w:val="clear" w:color="auto" w:fill="1F3864"/>
            <w:tcMar>
              <w:top w:w="60" w:type="dxa"/>
              <w:start w:w="90" w:type="dxa"/>
              <w:bottom w:w="60" w:type="dxa"/>
              <w:end w:w="90" w:type="dxa"/>
            </w:tcMar>
          </w:tcPr>
          <w:p>
            <w:pPr>
              <w:spacing w:after="0" w:line="240" w:lineRule="auto"/>
            </w:pPr>
            <w:r>
              <w:rPr>
                <w:rFonts w:ascii="Calibri" w:hAnsi="Calibri"/>
                <w:b/>
                <w:color w:val="FFFFFF"/>
                <w:sz w:val="17"/>
              </w:rPr>
              <w:t>roadmap.sh node</w:t>
            </w:r>
          </w:p>
        </w:tc>
        <w:tc>
          <w:tcPr>
            <w:tcW w:type="dxa" w:w="1364"/>
            <w:shd w:val="clear" w:color="auto" w:fill="1F3864"/>
            <w:tcMar>
              <w:top w:w="60" w:type="dxa"/>
              <w:start w:w="90" w:type="dxa"/>
              <w:bottom w:w="60" w:type="dxa"/>
              <w:end w:w="90" w:type="dxa"/>
            </w:tcMar>
          </w:tcPr>
          <w:p>
            <w:pPr>
              <w:spacing w:after="0" w:line="240" w:lineRule="auto"/>
            </w:pPr>
            <w:r>
              <w:rPr>
                <w:rFonts w:ascii="Calibri" w:hAnsi="Calibri"/>
                <w:b/>
                <w:color w:val="FFFFFF"/>
                <w:sz w:val="17"/>
              </w:rPr>
              <w:t>Status</w:t>
            </w:r>
          </w:p>
        </w:tc>
        <w:tc>
          <w:tcPr>
            <w:tcW w:type="dxa" w:w="5458"/>
            <w:shd w:val="clear" w:color="auto" w:fill="1F3864"/>
            <w:tcMar>
              <w:top w:w="60" w:type="dxa"/>
              <w:start w:w="90" w:type="dxa"/>
              <w:bottom w:w="60" w:type="dxa"/>
              <w:end w:w="90" w:type="dxa"/>
            </w:tcMar>
          </w:tcPr>
          <w:p>
            <w:pPr>
              <w:spacing w:after="0" w:line="240" w:lineRule="auto"/>
            </w:pPr>
            <w:r>
              <w:rPr>
                <w:rFonts w:ascii="Calibri" w:hAnsi="Calibri"/>
                <w:b/>
                <w:color w:val="FFFFFF"/>
                <w:sz w:val="17"/>
              </w:rPr>
              <w:t>Where, and what we actually do</w:t>
            </w:r>
          </w:p>
        </w:tc>
      </w:tr>
      <w:tr>
        <w:tc>
          <w:tcPr>
            <w:tcW w:type="dxa" w:w="2924"/>
            <w:tcMar>
              <w:top w:w="60" w:type="dxa"/>
              <w:start w:w="90" w:type="dxa"/>
              <w:bottom w:w="60" w:type="dxa"/>
              <w:end w:w="90" w:type="dxa"/>
            </w:tcMar>
          </w:tcPr>
          <w:p>
            <w:pPr>
              <w:spacing w:after="0" w:line="252" w:lineRule="auto"/>
            </w:pPr>
            <w:r>
              <w:rPr>
                <w:rFonts w:ascii="Calibri" w:hAnsi="Calibri"/>
                <w:b/>
                <w:sz w:val="17"/>
              </w:rPr>
              <w:t>Basic syntax · variables and data types · data structures · loops · conditionals · exceptions · functions</w:t>
            </w:r>
          </w:p>
        </w:tc>
        <w:tc>
          <w:tcPr>
            <w:tcW w:type="dxa" w:w="1364"/>
            <w:tcMar>
              <w:top w:w="60" w:type="dxa"/>
              <w:start w:w="90" w:type="dxa"/>
              <w:bottom w:w="60" w:type="dxa"/>
              <w:end w:w="90" w:type="dxa"/>
            </w:tcMar>
          </w:tcPr>
          <w:p>
            <w:pPr>
              <w:spacing w:after="0" w:line="252" w:lineRule="auto"/>
            </w:pPr>
            <w:r>
              <w:rPr>
                <w:rFonts w:ascii="Calibri" w:hAnsi="Calibri"/>
                <w:sz w:val="17"/>
              </w:rPr>
              <w:t>SEMESTER 1</w:t>
            </w:r>
          </w:p>
        </w:tc>
        <w:tc>
          <w:tcPr>
            <w:tcW w:type="dxa" w:w="5458"/>
            <w:tcMar>
              <w:top w:w="60" w:type="dxa"/>
              <w:start w:w="90" w:type="dxa"/>
              <w:bottom w:w="60" w:type="dxa"/>
              <w:end w:w="90" w:type="dxa"/>
            </w:tcMar>
          </w:tcPr>
          <w:p>
            <w:pPr>
              <w:spacing w:after="0" w:line="252" w:lineRule="auto"/>
            </w:pPr>
            <w:r>
              <w:rPr>
                <w:rFonts w:ascii="Calibri" w:hAnsi="Calibri"/>
                <w:sz w:val="17"/>
              </w:rPr>
              <w:t>Weeks 3 and 4, in that order, each introduced through an engineering calculation rather than an abstract exercise.</w:t>
            </w:r>
          </w:p>
        </w:tc>
      </w:tr>
      <w:tr>
        <w:tc>
          <w:tcPr>
            <w:tcW w:type="dxa" w:w="2924"/>
            <w:tcMar>
              <w:top w:w="60" w:type="dxa"/>
              <w:start w:w="90" w:type="dxa"/>
              <w:bottom w:w="60" w:type="dxa"/>
              <w:end w:w="90" w:type="dxa"/>
            </w:tcMar>
            <w:shd w:val="clear" w:color="auto" w:fill="F2F5FB"/>
          </w:tcPr>
          <w:p>
            <w:pPr>
              <w:spacing w:after="0" w:line="252" w:lineRule="auto"/>
            </w:pPr>
            <w:r>
              <w:rPr>
                <w:rFonts w:ascii="Calibri" w:hAnsi="Calibri"/>
                <w:b/>
                <w:sz w:val="17"/>
              </w:rPr>
              <w:t>Object-oriented programming</w:t>
            </w:r>
          </w:p>
        </w:tc>
        <w:tc>
          <w:tcPr>
            <w:tcW w:type="dxa" w:w="1364"/>
            <w:tcMar>
              <w:top w:w="60" w:type="dxa"/>
              <w:start w:w="90" w:type="dxa"/>
              <w:bottom w:w="60" w:type="dxa"/>
              <w:end w:w="90" w:type="dxa"/>
            </w:tcMar>
            <w:shd w:val="clear" w:color="auto" w:fill="F2F5FB"/>
          </w:tcPr>
          <w:p>
            <w:pPr>
              <w:spacing w:after="0" w:line="252" w:lineRule="auto"/>
            </w:pPr>
            <w:r>
              <w:rPr>
                <w:rFonts w:ascii="Calibri" w:hAnsi="Calibri"/>
                <w:sz w:val="17"/>
              </w:rPr>
              <w:t>NOT COVERED</w:t>
            </w:r>
          </w:p>
        </w:tc>
        <w:tc>
          <w:tcPr>
            <w:tcW w:type="dxa" w:w="5458"/>
            <w:tcMar>
              <w:top w:w="60" w:type="dxa"/>
              <w:start w:w="90" w:type="dxa"/>
              <w:bottom w:w="60" w:type="dxa"/>
              <w:end w:w="90" w:type="dxa"/>
            </w:tcMar>
            <w:shd w:val="clear" w:color="auto" w:fill="F2F5FB"/>
          </w:tcPr>
          <w:p>
            <w:pPr>
              <w:spacing w:after="0" w:line="252" w:lineRule="auto"/>
            </w:pPr>
            <w:r>
              <w:rPr>
                <w:rFonts w:ascii="Calibri" w:hAnsi="Calibri"/>
                <w:sz w:val="17"/>
              </w:rPr>
              <w:t>Deliberately excluded from Semester 1. Beginners do not need classes to do data work, and the time is better spent on data handling. Students meet objects only as things they use, never as things they define.</w:t>
            </w:r>
          </w:p>
        </w:tc>
      </w:tr>
      <w:tr>
        <w:tc>
          <w:tcPr>
            <w:tcW w:type="dxa" w:w="2924"/>
            <w:tcMar>
              <w:top w:w="60" w:type="dxa"/>
              <w:start w:w="90" w:type="dxa"/>
              <w:bottom w:w="60" w:type="dxa"/>
              <w:end w:w="90" w:type="dxa"/>
            </w:tcMar>
          </w:tcPr>
          <w:p>
            <w:pPr>
              <w:spacing w:after="0" w:line="252" w:lineRule="auto"/>
            </w:pPr>
            <w:r>
              <w:rPr>
                <w:rFonts w:ascii="Calibri" w:hAnsi="Calibri"/>
                <w:b/>
                <w:sz w:val="17"/>
              </w:rPr>
              <w:t>NumPy · pandas</w:t>
            </w:r>
          </w:p>
        </w:tc>
        <w:tc>
          <w:tcPr>
            <w:tcW w:type="dxa" w:w="1364"/>
            <w:tcMar>
              <w:top w:w="60" w:type="dxa"/>
              <w:start w:w="90" w:type="dxa"/>
              <w:bottom w:w="60" w:type="dxa"/>
              <w:end w:w="90" w:type="dxa"/>
            </w:tcMar>
          </w:tcPr>
          <w:p>
            <w:pPr>
              <w:spacing w:after="0" w:line="252" w:lineRule="auto"/>
            </w:pPr>
            <w:r>
              <w:rPr>
                <w:rFonts w:ascii="Calibri" w:hAnsi="Calibri"/>
                <w:sz w:val="17"/>
              </w:rPr>
              <w:t>SEMESTER 1</w:t>
            </w:r>
          </w:p>
        </w:tc>
        <w:tc>
          <w:tcPr>
            <w:tcW w:type="dxa" w:w="5458"/>
            <w:tcMar>
              <w:top w:w="60" w:type="dxa"/>
              <w:start w:w="90" w:type="dxa"/>
              <w:bottom w:w="60" w:type="dxa"/>
              <w:end w:w="90" w:type="dxa"/>
            </w:tcMar>
          </w:tcPr>
          <w:p>
            <w:pPr>
              <w:spacing w:after="0" w:line="252" w:lineRule="auto"/>
            </w:pPr>
            <w:r>
              <w:rPr>
                <w:rFonts w:ascii="Calibri" w:hAnsi="Calibri"/>
                <w:sz w:val="17"/>
              </w:rPr>
              <w:t>Week 5. pandas is the single most heavily weighted tool in the semester.</w:t>
            </w:r>
          </w:p>
        </w:tc>
      </w:tr>
      <w:tr>
        <w:tc>
          <w:tcPr>
            <w:tcW w:type="dxa" w:w="2924"/>
            <w:tcMar>
              <w:top w:w="60" w:type="dxa"/>
              <w:start w:w="90" w:type="dxa"/>
              <w:bottom w:w="60" w:type="dxa"/>
              <w:end w:w="90" w:type="dxa"/>
            </w:tcMar>
            <w:shd w:val="clear" w:color="auto" w:fill="F2F5FB"/>
          </w:tcPr>
          <w:p>
            <w:pPr>
              <w:spacing w:after="0" w:line="252" w:lineRule="auto"/>
            </w:pPr>
            <w:r>
              <w:rPr>
                <w:rFonts w:ascii="Calibri" w:hAnsi="Calibri"/>
                <w:b/>
                <w:sz w:val="17"/>
              </w:rPr>
              <w:t>Matplotlib · seaborn</w:t>
            </w:r>
          </w:p>
        </w:tc>
        <w:tc>
          <w:tcPr>
            <w:tcW w:type="dxa" w:w="1364"/>
            <w:tcMar>
              <w:top w:w="60" w:type="dxa"/>
              <w:start w:w="90" w:type="dxa"/>
              <w:bottom w:w="60" w:type="dxa"/>
              <w:end w:w="90" w:type="dxa"/>
            </w:tcMar>
            <w:shd w:val="clear" w:color="auto" w:fill="F2F5FB"/>
          </w:tcPr>
          <w:p>
            <w:pPr>
              <w:spacing w:after="0" w:line="252" w:lineRule="auto"/>
            </w:pPr>
            <w:r>
              <w:rPr>
                <w:rFonts w:ascii="Calibri" w:hAnsi="Calibri"/>
                <w:sz w:val="17"/>
              </w:rPr>
              <w:t>SEMESTER 1</w:t>
            </w:r>
          </w:p>
        </w:tc>
        <w:tc>
          <w:tcPr>
            <w:tcW w:type="dxa" w:w="5458"/>
            <w:tcMar>
              <w:top w:w="60" w:type="dxa"/>
              <w:start w:w="90" w:type="dxa"/>
              <w:bottom w:w="60" w:type="dxa"/>
              <w:end w:w="90" w:type="dxa"/>
            </w:tcMar>
            <w:shd w:val="clear" w:color="auto" w:fill="F2F5FB"/>
          </w:tcPr>
          <w:p>
            <w:pPr>
              <w:spacing w:after="0" w:line="252" w:lineRule="auto"/>
            </w:pPr>
            <w:r>
              <w:rPr>
                <w:rFonts w:ascii="Calibri" w:hAnsi="Calibri"/>
                <w:sz w:val="17"/>
              </w:rPr>
              <w:t>Week 6, taught as instruments of detection rather than decoration — every chart must answer a stated question.</w:t>
            </w:r>
          </w:p>
        </w:tc>
      </w:tr>
    </w:tbl>
    <w:p>
      <w:pPr>
        <w:pStyle w:val="Heading2"/>
      </w:pPr>
      <w:r>
        <w:t>Data collection and preprocessing</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2923"/>
        <w:gridCol w:w="1364"/>
        <w:gridCol w:w="5457"/>
      </w:tblGrid>
      <w:tr>
        <w:trPr>
          <w:tblHeader w:val="true"/>
        </w:trPr>
        <w:tc>
          <w:tcPr>
            <w:tcW w:type="dxa" w:w="2924"/>
            <w:shd w:val="clear" w:color="auto" w:fill="1F3864"/>
            <w:tcMar>
              <w:top w:w="60" w:type="dxa"/>
              <w:start w:w="90" w:type="dxa"/>
              <w:bottom w:w="60" w:type="dxa"/>
              <w:end w:w="90" w:type="dxa"/>
            </w:tcMar>
          </w:tcPr>
          <w:p>
            <w:pPr>
              <w:spacing w:after="0" w:line="240" w:lineRule="auto"/>
            </w:pPr>
            <w:r>
              <w:rPr>
                <w:rFonts w:ascii="Calibri" w:hAnsi="Calibri"/>
                <w:b/>
                <w:color w:val="FFFFFF"/>
                <w:sz w:val="17"/>
              </w:rPr>
              <w:t>roadmap.sh node</w:t>
            </w:r>
          </w:p>
        </w:tc>
        <w:tc>
          <w:tcPr>
            <w:tcW w:type="dxa" w:w="1364"/>
            <w:shd w:val="clear" w:color="auto" w:fill="1F3864"/>
            <w:tcMar>
              <w:top w:w="60" w:type="dxa"/>
              <w:start w:w="90" w:type="dxa"/>
              <w:bottom w:w="60" w:type="dxa"/>
              <w:end w:w="90" w:type="dxa"/>
            </w:tcMar>
          </w:tcPr>
          <w:p>
            <w:pPr>
              <w:spacing w:after="0" w:line="240" w:lineRule="auto"/>
            </w:pPr>
            <w:r>
              <w:rPr>
                <w:rFonts w:ascii="Calibri" w:hAnsi="Calibri"/>
                <w:b/>
                <w:color w:val="FFFFFF"/>
                <w:sz w:val="17"/>
              </w:rPr>
              <w:t>Status</w:t>
            </w:r>
          </w:p>
        </w:tc>
        <w:tc>
          <w:tcPr>
            <w:tcW w:type="dxa" w:w="5458"/>
            <w:shd w:val="clear" w:color="auto" w:fill="1F3864"/>
            <w:tcMar>
              <w:top w:w="60" w:type="dxa"/>
              <w:start w:w="90" w:type="dxa"/>
              <w:bottom w:w="60" w:type="dxa"/>
              <w:end w:w="90" w:type="dxa"/>
            </w:tcMar>
          </w:tcPr>
          <w:p>
            <w:pPr>
              <w:spacing w:after="0" w:line="240" w:lineRule="auto"/>
            </w:pPr>
            <w:r>
              <w:rPr>
                <w:rFonts w:ascii="Calibri" w:hAnsi="Calibri"/>
                <w:b/>
                <w:color w:val="FFFFFF"/>
                <w:sz w:val="17"/>
              </w:rPr>
              <w:t>Where, and what we actually do</w:t>
            </w:r>
          </w:p>
        </w:tc>
      </w:tr>
      <w:tr>
        <w:tc>
          <w:tcPr>
            <w:tcW w:type="dxa" w:w="2924"/>
            <w:tcMar>
              <w:top w:w="60" w:type="dxa"/>
              <w:start w:w="90" w:type="dxa"/>
              <w:bottom w:w="60" w:type="dxa"/>
              <w:end w:w="90" w:type="dxa"/>
            </w:tcMar>
          </w:tcPr>
          <w:p>
            <w:pPr>
              <w:spacing w:after="0" w:line="252" w:lineRule="auto"/>
            </w:pPr>
            <w:r>
              <w:rPr>
                <w:rFonts w:ascii="Calibri" w:hAnsi="Calibri"/>
                <w:b/>
                <w:sz w:val="17"/>
              </w:rPr>
              <w:t>Data sources — databases (SQL, NoSQL), internet, APIs, mobile apps, IoT</w:t>
            </w:r>
          </w:p>
        </w:tc>
        <w:tc>
          <w:tcPr>
            <w:tcW w:type="dxa" w:w="1364"/>
            <w:tcMar>
              <w:top w:w="60" w:type="dxa"/>
              <w:start w:w="90" w:type="dxa"/>
              <w:bottom w:w="60" w:type="dxa"/>
              <w:end w:w="90" w:type="dxa"/>
            </w:tcMar>
          </w:tcPr>
          <w:p>
            <w:pPr>
              <w:spacing w:after="0" w:line="252" w:lineRule="auto"/>
            </w:pPr>
            <w:r>
              <w:rPr>
                <w:rFonts w:ascii="Calibri" w:hAnsi="Calibri"/>
                <w:sz w:val="17"/>
              </w:rPr>
              <w:t>PART · SEMESTER 1</w:t>
            </w:r>
          </w:p>
        </w:tc>
        <w:tc>
          <w:tcPr>
            <w:tcW w:type="dxa" w:w="5458"/>
            <w:tcMar>
              <w:top w:w="60" w:type="dxa"/>
              <w:start w:w="90" w:type="dxa"/>
              <w:bottom w:w="60" w:type="dxa"/>
              <w:end w:w="90" w:type="dxa"/>
            </w:tcMar>
          </w:tcPr>
          <w:p>
            <w:pPr>
              <w:spacing w:after="0" w:line="252" w:lineRule="auto"/>
            </w:pPr>
            <w:r>
              <w:rPr>
                <w:rFonts w:ascii="Calibri" w:hAnsi="Calibri"/>
                <w:sz w:val="17"/>
              </w:rPr>
              <w:t>Week 5 covers finding and judging a dataset on Kaggle and the UCI repository, and reading a dataset card for provenance and licence. SQL, APIs and IoT ingestion are NOT taught — a real gap, and the most defensible candidate for adding to Semester 2.</w:t>
            </w:r>
          </w:p>
        </w:tc>
      </w:tr>
      <w:tr>
        <w:tc>
          <w:tcPr>
            <w:tcW w:type="dxa" w:w="2924"/>
            <w:tcMar>
              <w:top w:w="60" w:type="dxa"/>
              <w:start w:w="90" w:type="dxa"/>
              <w:bottom w:w="60" w:type="dxa"/>
              <w:end w:w="90" w:type="dxa"/>
            </w:tcMar>
            <w:shd w:val="clear" w:color="auto" w:fill="F2F5FB"/>
          </w:tcPr>
          <w:p>
            <w:pPr>
              <w:spacing w:after="0" w:line="252" w:lineRule="auto"/>
            </w:pPr>
            <w:r>
              <w:rPr>
                <w:rFonts w:ascii="Calibri" w:hAnsi="Calibri"/>
                <w:b/>
                <w:sz w:val="17"/>
              </w:rPr>
              <w:t>Data formats — CSV, Excel, JSON, Parquet</w:t>
            </w:r>
          </w:p>
        </w:tc>
        <w:tc>
          <w:tcPr>
            <w:tcW w:type="dxa" w:w="1364"/>
            <w:tcMar>
              <w:top w:w="60" w:type="dxa"/>
              <w:start w:w="90" w:type="dxa"/>
              <w:bottom w:w="60" w:type="dxa"/>
              <w:end w:w="90" w:type="dxa"/>
            </w:tcMar>
            <w:shd w:val="clear" w:color="auto" w:fill="F2F5FB"/>
          </w:tcPr>
          <w:p>
            <w:pPr>
              <w:spacing w:after="0" w:line="252" w:lineRule="auto"/>
            </w:pPr>
            <w:r>
              <w:rPr>
                <w:rFonts w:ascii="Calibri" w:hAnsi="Calibri"/>
                <w:sz w:val="17"/>
              </w:rPr>
              <w:t>PART · SEMESTER 1</w:t>
            </w:r>
          </w:p>
        </w:tc>
        <w:tc>
          <w:tcPr>
            <w:tcW w:type="dxa" w:w="5458"/>
            <w:tcMar>
              <w:top w:w="60" w:type="dxa"/>
              <w:start w:w="90" w:type="dxa"/>
              <w:bottom w:w="60" w:type="dxa"/>
              <w:end w:w="90" w:type="dxa"/>
            </w:tcMar>
            <w:shd w:val="clear" w:color="auto" w:fill="F2F5FB"/>
          </w:tcPr>
          <w:p>
            <w:pPr>
              <w:spacing w:after="0" w:line="252" w:lineRule="auto"/>
            </w:pPr>
            <w:r>
              <w:rPr>
                <w:rFonts w:ascii="Calibri" w:hAnsi="Calibri"/>
                <w:sz w:val="17"/>
              </w:rPr>
              <w:t>CSV throughout, Excel in passing. JSON and Parquet are not covered.</w:t>
            </w:r>
          </w:p>
        </w:tc>
      </w:tr>
      <w:tr>
        <w:tc>
          <w:tcPr>
            <w:tcW w:type="dxa" w:w="2924"/>
            <w:tcMar>
              <w:top w:w="60" w:type="dxa"/>
              <w:start w:w="90" w:type="dxa"/>
              <w:bottom w:w="60" w:type="dxa"/>
              <w:end w:w="90" w:type="dxa"/>
            </w:tcMar>
          </w:tcPr>
          <w:p>
            <w:pPr>
              <w:spacing w:after="0" w:line="252" w:lineRule="auto"/>
            </w:pPr>
            <w:r>
              <w:rPr>
                <w:rFonts w:ascii="Calibri" w:hAnsi="Calibri"/>
                <w:b/>
                <w:sz w:val="17"/>
              </w:rPr>
              <w:t>Data cleaning</w:t>
            </w:r>
          </w:p>
        </w:tc>
        <w:tc>
          <w:tcPr>
            <w:tcW w:type="dxa" w:w="1364"/>
            <w:tcMar>
              <w:top w:w="60" w:type="dxa"/>
              <w:start w:w="90" w:type="dxa"/>
              <w:bottom w:w="60" w:type="dxa"/>
              <w:end w:w="90" w:type="dxa"/>
            </w:tcMar>
          </w:tcPr>
          <w:p>
            <w:pPr>
              <w:spacing w:after="0" w:line="252" w:lineRule="auto"/>
            </w:pPr>
            <w:r>
              <w:rPr>
                <w:rFonts w:ascii="Calibri" w:hAnsi="Calibri"/>
                <w:sz w:val="17"/>
              </w:rPr>
              <w:t>SEMESTER 1</w:t>
            </w:r>
          </w:p>
        </w:tc>
        <w:tc>
          <w:tcPr>
            <w:tcW w:type="dxa" w:w="5458"/>
            <w:tcMar>
              <w:top w:w="60" w:type="dxa"/>
              <w:start w:w="90" w:type="dxa"/>
              <w:bottom w:w="60" w:type="dxa"/>
              <w:end w:w="90" w:type="dxa"/>
            </w:tcMar>
          </w:tcPr>
          <w:p>
            <w:pPr>
              <w:spacing w:after="0" w:line="252" w:lineRule="auto"/>
            </w:pPr>
            <w:r>
              <w:rPr>
                <w:rFonts w:ascii="Calibri" w:hAnsi="Calibri"/>
                <w:sz w:val="17"/>
              </w:rPr>
              <w:t>Week 6 in depth: missingness, duplicates, impossible values, dtype repair, outlier judgement, with marks awarded for the justification rather than the fix.</w:t>
            </w:r>
          </w:p>
        </w:tc>
      </w:tr>
      <w:tr>
        <w:tc>
          <w:tcPr>
            <w:tcW w:type="dxa" w:w="2924"/>
            <w:tcMar>
              <w:top w:w="60" w:type="dxa"/>
              <w:start w:w="90" w:type="dxa"/>
              <w:bottom w:w="60" w:type="dxa"/>
              <w:end w:w="90" w:type="dxa"/>
            </w:tcMar>
            <w:shd w:val="clear" w:color="auto" w:fill="F2F5FB"/>
          </w:tcPr>
          <w:p>
            <w:pPr>
              <w:spacing w:after="0" w:line="252" w:lineRule="auto"/>
            </w:pPr>
            <w:r>
              <w:rPr>
                <w:rFonts w:ascii="Calibri" w:hAnsi="Calibri"/>
                <w:b/>
                <w:sz w:val="17"/>
              </w:rPr>
              <w:t>Feature engineering · feature selection</w:t>
            </w:r>
          </w:p>
        </w:tc>
        <w:tc>
          <w:tcPr>
            <w:tcW w:type="dxa" w:w="1364"/>
            <w:tcMar>
              <w:top w:w="60" w:type="dxa"/>
              <w:start w:w="90" w:type="dxa"/>
              <w:bottom w:w="60" w:type="dxa"/>
              <w:end w:w="90" w:type="dxa"/>
            </w:tcMar>
            <w:shd w:val="clear" w:color="auto" w:fill="F2F5FB"/>
          </w:tcPr>
          <w:p>
            <w:pPr>
              <w:spacing w:after="0" w:line="252" w:lineRule="auto"/>
            </w:pPr>
            <w:r>
              <w:rPr>
                <w:rFonts w:ascii="Calibri" w:hAnsi="Calibri"/>
                <w:sz w:val="17"/>
              </w:rPr>
              <w:t>SEMESTER 1</w:t>
            </w:r>
          </w:p>
        </w:tc>
        <w:tc>
          <w:tcPr>
            <w:tcW w:type="dxa" w:w="5458"/>
            <w:tcMar>
              <w:top w:w="60" w:type="dxa"/>
              <w:start w:w="90" w:type="dxa"/>
              <w:bottom w:w="60" w:type="dxa"/>
              <w:end w:w="90" w:type="dxa"/>
            </w:tcMar>
            <w:shd w:val="clear" w:color="auto" w:fill="F2F5FB"/>
          </w:tcPr>
          <w:p>
            <w:pPr>
              <w:spacing w:after="0" w:line="252" w:lineRule="auto"/>
            </w:pPr>
            <w:r>
              <w:rPr>
                <w:rFonts w:ascii="Calibri" w:hAnsi="Calibri"/>
                <w:sz w:val="17"/>
              </w:rPr>
              <w:t>Week 11, framed as the place where the students' domain knowledge beats a better programmer.</w:t>
            </w:r>
          </w:p>
        </w:tc>
      </w:tr>
      <w:tr>
        <w:tc>
          <w:tcPr>
            <w:tcW w:type="dxa" w:w="2924"/>
            <w:tcMar>
              <w:top w:w="60" w:type="dxa"/>
              <w:start w:w="90" w:type="dxa"/>
              <w:bottom w:w="60" w:type="dxa"/>
              <w:end w:w="90" w:type="dxa"/>
            </w:tcMar>
          </w:tcPr>
          <w:p>
            <w:pPr>
              <w:spacing w:after="0" w:line="252" w:lineRule="auto"/>
            </w:pPr>
            <w:r>
              <w:rPr>
                <w:rFonts w:ascii="Calibri" w:hAnsi="Calibri"/>
                <w:b/>
                <w:sz w:val="17"/>
              </w:rPr>
              <w:t>Feature scaling and normalisation</w:t>
            </w:r>
          </w:p>
        </w:tc>
        <w:tc>
          <w:tcPr>
            <w:tcW w:type="dxa" w:w="1364"/>
            <w:tcMar>
              <w:top w:w="60" w:type="dxa"/>
              <w:start w:w="90" w:type="dxa"/>
              <w:bottom w:w="60" w:type="dxa"/>
              <w:end w:w="90" w:type="dxa"/>
            </w:tcMar>
          </w:tcPr>
          <w:p>
            <w:pPr>
              <w:spacing w:after="0" w:line="252" w:lineRule="auto"/>
            </w:pPr>
            <w:r>
              <w:rPr>
                <w:rFonts w:ascii="Calibri" w:hAnsi="Calibri"/>
                <w:sz w:val="17"/>
              </w:rPr>
              <w:t>SEMESTER 1</w:t>
            </w:r>
          </w:p>
        </w:tc>
        <w:tc>
          <w:tcPr>
            <w:tcW w:type="dxa" w:w="5458"/>
            <w:tcMar>
              <w:top w:w="60" w:type="dxa"/>
              <w:start w:w="90" w:type="dxa"/>
              <w:bottom w:w="60" w:type="dxa"/>
              <w:end w:w="90" w:type="dxa"/>
            </w:tcMar>
          </w:tcPr>
          <w:p>
            <w:pPr>
              <w:spacing w:after="0" w:line="252" w:lineRule="auto"/>
            </w:pPr>
            <w:r>
              <w:rPr>
                <w:rFonts w:ascii="Calibri" w:hAnsi="Calibri"/>
                <w:sz w:val="17"/>
              </w:rPr>
              <w:t>Week 11, always inside a scikit-learn Pipeline so that leakage is structurally prevented.</w:t>
            </w:r>
          </w:p>
        </w:tc>
      </w:tr>
      <w:tr>
        <w:tc>
          <w:tcPr>
            <w:tcW w:type="dxa" w:w="2924"/>
            <w:tcMar>
              <w:top w:w="60" w:type="dxa"/>
              <w:start w:w="90" w:type="dxa"/>
              <w:bottom w:w="60" w:type="dxa"/>
              <w:end w:w="90" w:type="dxa"/>
            </w:tcMar>
            <w:shd w:val="clear" w:color="auto" w:fill="F2F5FB"/>
          </w:tcPr>
          <w:p>
            <w:pPr>
              <w:spacing w:after="0" w:line="252" w:lineRule="auto"/>
            </w:pPr>
            <w:r>
              <w:rPr>
                <w:rFonts w:ascii="Calibri" w:hAnsi="Calibri"/>
                <w:b/>
                <w:sz w:val="17"/>
              </w:rPr>
              <w:t>Dimensionality reduction</w:t>
            </w:r>
          </w:p>
        </w:tc>
        <w:tc>
          <w:tcPr>
            <w:tcW w:type="dxa" w:w="1364"/>
            <w:tcMar>
              <w:top w:w="60" w:type="dxa"/>
              <w:start w:w="90" w:type="dxa"/>
              <w:bottom w:w="60" w:type="dxa"/>
              <w:end w:w="90" w:type="dxa"/>
            </w:tcMar>
            <w:shd w:val="clear" w:color="auto" w:fill="F2F5FB"/>
          </w:tcPr>
          <w:p>
            <w:pPr>
              <w:spacing w:after="0" w:line="252" w:lineRule="auto"/>
            </w:pPr>
            <w:r>
              <w:rPr>
                <w:rFonts w:ascii="Calibri" w:hAnsi="Calibri"/>
                <w:sz w:val="17"/>
              </w:rPr>
              <w:t>SEMESTER 2</w:t>
            </w:r>
          </w:p>
        </w:tc>
        <w:tc>
          <w:tcPr>
            <w:tcW w:type="dxa" w:w="5458"/>
            <w:tcMar>
              <w:top w:w="60" w:type="dxa"/>
              <w:start w:w="90" w:type="dxa"/>
              <w:bottom w:w="60" w:type="dxa"/>
              <w:end w:w="90" w:type="dxa"/>
            </w:tcMar>
            <w:shd w:val="clear" w:color="auto" w:fill="F2F5FB"/>
          </w:tcPr>
          <w:p>
            <w:pPr>
              <w:spacing w:after="0" w:line="252" w:lineRule="auto"/>
            </w:pPr>
            <w:r>
              <w:rPr>
                <w:rFonts w:ascii="Calibri" w:hAnsi="Calibri"/>
                <w:sz w:val="17"/>
              </w:rPr>
              <w:t>With PCA in Semester 2.</w:t>
            </w:r>
          </w:p>
        </w:tc>
      </w:tr>
    </w:tbl>
    <w:p>
      <w:r>
        <w:br w:type="page"/>
      </w:r>
    </w:p>
    <w:p>
      <w:pPr>
        <w:pStyle w:val="Heading2"/>
      </w:pPr>
      <w:r>
        <w:t>Machine learning core</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2923"/>
        <w:gridCol w:w="1364"/>
        <w:gridCol w:w="5457"/>
      </w:tblGrid>
      <w:tr>
        <w:trPr>
          <w:tblHeader w:val="true"/>
        </w:trPr>
        <w:tc>
          <w:tcPr>
            <w:tcW w:type="dxa" w:w="2924"/>
            <w:shd w:val="clear" w:color="auto" w:fill="1F3864"/>
            <w:tcMar>
              <w:top w:w="60" w:type="dxa"/>
              <w:start w:w="90" w:type="dxa"/>
              <w:bottom w:w="60" w:type="dxa"/>
              <w:end w:w="90" w:type="dxa"/>
            </w:tcMar>
          </w:tcPr>
          <w:p>
            <w:pPr>
              <w:spacing w:after="0" w:line="240" w:lineRule="auto"/>
            </w:pPr>
            <w:r>
              <w:rPr>
                <w:rFonts w:ascii="Calibri" w:hAnsi="Calibri"/>
                <w:b/>
                <w:color w:val="FFFFFF"/>
                <w:sz w:val="17"/>
              </w:rPr>
              <w:t>roadmap.sh node</w:t>
            </w:r>
          </w:p>
        </w:tc>
        <w:tc>
          <w:tcPr>
            <w:tcW w:type="dxa" w:w="1364"/>
            <w:shd w:val="clear" w:color="auto" w:fill="1F3864"/>
            <w:tcMar>
              <w:top w:w="60" w:type="dxa"/>
              <w:start w:w="90" w:type="dxa"/>
              <w:bottom w:w="60" w:type="dxa"/>
              <w:end w:w="90" w:type="dxa"/>
            </w:tcMar>
          </w:tcPr>
          <w:p>
            <w:pPr>
              <w:spacing w:after="0" w:line="240" w:lineRule="auto"/>
            </w:pPr>
            <w:r>
              <w:rPr>
                <w:rFonts w:ascii="Calibri" w:hAnsi="Calibri"/>
                <w:b/>
                <w:color w:val="FFFFFF"/>
                <w:sz w:val="17"/>
              </w:rPr>
              <w:t>Status</w:t>
            </w:r>
          </w:p>
        </w:tc>
        <w:tc>
          <w:tcPr>
            <w:tcW w:type="dxa" w:w="5458"/>
            <w:shd w:val="clear" w:color="auto" w:fill="1F3864"/>
            <w:tcMar>
              <w:top w:w="60" w:type="dxa"/>
              <w:start w:w="90" w:type="dxa"/>
              <w:bottom w:w="60" w:type="dxa"/>
              <w:end w:w="90" w:type="dxa"/>
            </w:tcMar>
          </w:tcPr>
          <w:p>
            <w:pPr>
              <w:spacing w:after="0" w:line="240" w:lineRule="auto"/>
            </w:pPr>
            <w:r>
              <w:rPr>
                <w:rFonts w:ascii="Calibri" w:hAnsi="Calibri"/>
                <w:b/>
                <w:color w:val="FFFFFF"/>
                <w:sz w:val="17"/>
              </w:rPr>
              <w:t>Where, and what we actually do</w:t>
            </w:r>
          </w:p>
        </w:tc>
      </w:tr>
      <w:tr>
        <w:tc>
          <w:tcPr>
            <w:tcW w:type="dxa" w:w="2924"/>
            <w:tcMar>
              <w:top w:w="60" w:type="dxa"/>
              <w:start w:w="90" w:type="dxa"/>
              <w:bottom w:w="60" w:type="dxa"/>
              <w:end w:w="90" w:type="dxa"/>
            </w:tcMar>
          </w:tcPr>
          <w:p>
            <w:pPr>
              <w:spacing w:after="0" w:line="252" w:lineRule="auto"/>
            </w:pPr>
            <w:r>
              <w:rPr>
                <w:rFonts w:ascii="Calibri" w:hAnsi="Calibri"/>
                <w:b/>
                <w:sz w:val="17"/>
              </w:rPr>
              <w:t>What is machine learning? · types of machine learning</w:t>
            </w:r>
          </w:p>
        </w:tc>
        <w:tc>
          <w:tcPr>
            <w:tcW w:type="dxa" w:w="1364"/>
            <w:tcMar>
              <w:top w:w="60" w:type="dxa"/>
              <w:start w:w="90" w:type="dxa"/>
              <w:bottom w:w="60" w:type="dxa"/>
              <w:end w:w="90" w:type="dxa"/>
            </w:tcMar>
          </w:tcPr>
          <w:p>
            <w:pPr>
              <w:spacing w:after="0" w:line="252" w:lineRule="auto"/>
            </w:pPr>
            <w:r>
              <w:rPr>
                <w:rFonts w:ascii="Calibri" w:hAnsi="Calibri"/>
                <w:sz w:val="17"/>
              </w:rPr>
              <w:t>SEMESTER 1</w:t>
            </w:r>
          </w:p>
        </w:tc>
        <w:tc>
          <w:tcPr>
            <w:tcW w:type="dxa" w:w="5458"/>
            <w:tcMar>
              <w:top w:w="60" w:type="dxa"/>
              <w:start w:w="90" w:type="dxa"/>
              <w:bottom w:w="60" w:type="dxa"/>
              <w:end w:w="90" w:type="dxa"/>
            </w:tcMar>
          </w:tcPr>
          <w:p>
            <w:pPr>
              <w:spacing w:after="0" w:line="252" w:lineRule="auto"/>
            </w:pPr>
            <w:r>
              <w:rPr>
                <w:rFonts w:ascii="Calibri" w:hAnsi="Calibri"/>
                <w:sz w:val="17"/>
              </w:rPr>
              <w:t>Week 1 for the framing, Week 8 for the formal treatment. Supervised, unsupervised and reinforcement are all NAMED in Week 1 so the vocabulary exists early.</w:t>
            </w:r>
          </w:p>
        </w:tc>
      </w:tr>
      <w:tr>
        <w:tc>
          <w:tcPr>
            <w:tcW w:type="dxa" w:w="2924"/>
            <w:tcMar>
              <w:top w:w="60" w:type="dxa"/>
              <w:start w:w="90" w:type="dxa"/>
              <w:bottom w:w="60" w:type="dxa"/>
              <w:end w:w="90" w:type="dxa"/>
            </w:tcMar>
            <w:shd w:val="clear" w:color="auto" w:fill="F2F5FB"/>
          </w:tcPr>
          <w:p>
            <w:pPr>
              <w:spacing w:after="0" w:line="252" w:lineRule="auto"/>
            </w:pPr>
            <w:r>
              <w:rPr>
                <w:rFonts w:ascii="Calibri" w:hAnsi="Calibri"/>
                <w:b/>
                <w:sz w:val="17"/>
              </w:rPr>
              <w:t>Semi-supervised · self-supervised learning</w:t>
            </w:r>
          </w:p>
        </w:tc>
        <w:tc>
          <w:tcPr>
            <w:tcW w:type="dxa" w:w="1364"/>
            <w:tcMar>
              <w:top w:w="60" w:type="dxa"/>
              <w:start w:w="90" w:type="dxa"/>
              <w:bottom w:w="60" w:type="dxa"/>
              <w:end w:w="90" w:type="dxa"/>
            </w:tcMar>
            <w:shd w:val="clear" w:color="auto" w:fill="F2F5FB"/>
          </w:tcPr>
          <w:p>
            <w:pPr>
              <w:spacing w:after="0" w:line="252" w:lineRule="auto"/>
            </w:pPr>
            <w:r>
              <w:rPr>
                <w:rFonts w:ascii="Calibri" w:hAnsi="Calibri"/>
                <w:sz w:val="17"/>
              </w:rPr>
              <w:t>NOT COVERED</w:t>
            </w:r>
          </w:p>
        </w:tc>
        <w:tc>
          <w:tcPr>
            <w:tcW w:type="dxa" w:w="5458"/>
            <w:tcMar>
              <w:top w:w="60" w:type="dxa"/>
              <w:start w:w="90" w:type="dxa"/>
              <w:bottom w:w="60" w:type="dxa"/>
              <w:end w:w="90" w:type="dxa"/>
            </w:tcMar>
            <w:shd w:val="clear" w:color="auto" w:fill="F2F5FB"/>
          </w:tcPr>
          <w:p>
            <w:pPr>
              <w:spacing w:after="0" w:line="252" w:lineRule="auto"/>
            </w:pPr>
            <w:r>
              <w:rPr>
                <w:rFonts w:ascii="Calibri" w:hAnsi="Calibri"/>
                <w:sz w:val="17"/>
              </w:rPr>
              <w:t>Named in passing only. Neither is teachable at this level in the time available.</w:t>
            </w:r>
          </w:p>
        </w:tc>
      </w:tr>
      <w:tr>
        <w:tc>
          <w:tcPr>
            <w:tcW w:type="dxa" w:w="2924"/>
            <w:tcMar>
              <w:top w:w="60" w:type="dxa"/>
              <w:start w:w="90" w:type="dxa"/>
              <w:bottom w:w="60" w:type="dxa"/>
              <w:end w:w="90" w:type="dxa"/>
            </w:tcMar>
          </w:tcPr>
          <w:p>
            <w:pPr>
              <w:spacing w:after="0" w:line="252" w:lineRule="auto"/>
            </w:pPr>
            <w:r>
              <w:rPr>
                <w:rFonts w:ascii="Calibri" w:hAnsi="Calibri"/>
                <w:b/>
                <w:sz w:val="17"/>
              </w:rPr>
              <w:t>scikit-learn — data loading, train-test split, data preparation, model selection, tuning, prediction</w:t>
            </w:r>
          </w:p>
        </w:tc>
        <w:tc>
          <w:tcPr>
            <w:tcW w:type="dxa" w:w="1364"/>
            <w:tcMar>
              <w:top w:w="60" w:type="dxa"/>
              <w:start w:w="90" w:type="dxa"/>
              <w:bottom w:w="60" w:type="dxa"/>
              <w:end w:w="90" w:type="dxa"/>
            </w:tcMar>
          </w:tcPr>
          <w:p>
            <w:pPr>
              <w:spacing w:after="0" w:line="252" w:lineRule="auto"/>
            </w:pPr>
            <w:r>
              <w:rPr>
                <w:rFonts w:ascii="Calibri" w:hAnsi="Calibri"/>
                <w:sz w:val="17"/>
              </w:rPr>
              <w:t>SEMESTER 1</w:t>
            </w:r>
          </w:p>
        </w:tc>
        <w:tc>
          <w:tcPr>
            <w:tcW w:type="dxa" w:w="5458"/>
            <w:tcMar>
              <w:top w:w="60" w:type="dxa"/>
              <w:start w:w="90" w:type="dxa"/>
              <w:bottom w:w="60" w:type="dxa"/>
              <w:end w:w="90" w:type="dxa"/>
            </w:tcMar>
          </w:tcPr>
          <w:p>
            <w:pPr>
              <w:spacing w:after="0" w:line="252" w:lineRule="auto"/>
            </w:pPr>
            <w:r>
              <w:rPr>
                <w:rFonts w:ascii="Calibri" w:hAnsi="Calibri"/>
                <w:sz w:val="17"/>
              </w:rPr>
              <w:t>Weeks 8 to 12. The fit / predict / score pattern is named explicitly in Week 8 as the pattern every later model reuses.</w:t>
            </w:r>
          </w:p>
        </w:tc>
      </w:tr>
      <w:tr>
        <w:tc>
          <w:tcPr>
            <w:tcW w:type="dxa" w:w="2924"/>
            <w:tcMar>
              <w:top w:w="60" w:type="dxa"/>
              <w:start w:w="90" w:type="dxa"/>
              <w:bottom w:w="60" w:type="dxa"/>
              <w:end w:w="90" w:type="dxa"/>
            </w:tcMar>
            <w:shd w:val="clear" w:color="auto" w:fill="F2F5FB"/>
          </w:tcPr>
          <w:p>
            <w:pPr>
              <w:spacing w:after="0" w:line="252" w:lineRule="auto"/>
            </w:pPr>
            <w:r>
              <w:rPr>
                <w:rFonts w:ascii="Calibri" w:hAnsi="Calibri"/>
                <w:b/>
                <w:sz w:val="17"/>
              </w:rPr>
              <w:t>Supervised learning — regression: linear, polynomial</w:t>
            </w:r>
          </w:p>
        </w:tc>
        <w:tc>
          <w:tcPr>
            <w:tcW w:type="dxa" w:w="1364"/>
            <w:tcMar>
              <w:top w:w="60" w:type="dxa"/>
              <w:start w:w="90" w:type="dxa"/>
              <w:bottom w:w="60" w:type="dxa"/>
              <w:end w:w="90" w:type="dxa"/>
            </w:tcMar>
            <w:shd w:val="clear" w:color="auto" w:fill="F2F5FB"/>
          </w:tcPr>
          <w:p>
            <w:pPr>
              <w:spacing w:after="0" w:line="252" w:lineRule="auto"/>
            </w:pPr>
            <w:r>
              <w:rPr>
                <w:rFonts w:ascii="Calibri" w:hAnsi="Calibri"/>
                <w:sz w:val="17"/>
              </w:rPr>
              <w:t>SEMESTER 1</w:t>
            </w:r>
          </w:p>
        </w:tc>
        <w:tc>
          <w:tcPr>
            <w:tcW w:type="dxa" w:w="5458"/>
            <w:tcMar>
              <w:top w:w="60" w:type="dxa"/>
              <w:start w:w="90" w:type="dxa"/>
              <w:bottom w:w="60" w:type="dxa"/>
              <w:end w:w="90" w:type="dxa"/>
            </w:tcMar>
            <w:shd w:val="clear" w:color="auto" w:fill="F2F5FB"/>
          </w:tcPr>
          <w:p>
            <w:pPr>
              <w:spacing w:after="0" w:line="252" w:lineRule="auto"/>
            </w:pPr>
            <w:r>
              <w:rPr>
                <w:rFonts w:ascii="Calibri" w:hAnsi="Calibri"/>
                <w:sz w:val="17"/>
              </w:rPr>
              <w:t>Week 8 for linear regression. Polynomial is demonstrated but not examined.</w:t>
            </w:r>
          </w:p>
        </w:tc>
      </w:tr>
      <w:tr>
        <w:tc>
          <w:tcPr>
            <w:tcW w:type="dxa" w:w="2924"/>
            <w:tcMar>
              <w:top w:w="60" w:type="dxa"/>
              <w:start w:w="90" w:type="dxa"/>
              <w:bottom w:w="60" w:type="dxa"/>
              <w:end w:w="90" w:type="dxa"/>
            </w:tcMar>
          </w:tcPr>
          <w:p>
            <w:pPr>
              <w:spacing w:after="0" w:line="252" w:lineRule="auto"/>
            </w:pPr>
            <w:r>
              <w:rPr>
                <w:rFonts w:ascii="Calibri" w:hAnsi="Calibri"/>
                <w:b/>
                <w:sz w:val="17"/>
              </w:rPr>
              <w:t>Regularisation — Lasso, Ridge, ElasticNet</w:t>
            </w:r>
          </w:p>
        </w:tc>
        <w:tc>
          <w:tcPr>
            <w:tcW w:type="dxa" w:w="1364"/>
            <w:tcMar>
              <w:top w:w="60" w:type="dxa"/>
              <w:start w:w="90" w:type="dxa"/>
              <w:bottom w:w="60" w:type="dxa"/>
              <w:end w:w="90" w:type="dxa"/>
            </w:tcMar>
          </w:tcPr>
          <w:p>
            <w:pPr>
              <w:spacing w:after="0" w:line="252" w:lineRule="auto"/>
            </w:pPr>
            <w:r>
              <w:rPr>
                <w:rFonts w:ascii="Calibri" w:hAnsi="Calibri"/>
                <w:sz w:val="17"/>
              </w:rPr>
              <w:t>PART · SEMESTER 2</w:t>
            </w:r>
          </w:p>
        </w:tc>
        <w:tc>
          <w:tcPr>
            <w:tcW w:type="dxa" w:w="5458"/>
            <w:tcMar>
              <w:top w:w="60" w:type="dxa"/>
              <w:start w:w="90" w:type="dxa"/>
              <w:bottom w:w="60" w:type="dxa"/>
              <w:end w:w="90" w:type="dxa"/>
            </w:tcMar>
          </w:tcPr>
          <w:p>
            <w:pPr>
              <w:spacing w:after="0" w:line="252" w:lineRule="auto"/>
            </w:pPr>
            <w:r>
              <w:rPr>
                <w:rFonts w:ascii="Calibri" w:hAnsi="Calibri"/>
                <w:sz w:val="17"/>
              </w:rPr>
              <w:t>Not in Semester 1. Introduced in Semester 2 alongside overfitting control. A genuine gap in the first semester and stated as such.</w:t>
            </w:r>
          </w:p>
        </w:tc>
      </w:tr>
      <w:tr>
        <w:tc>
          <w:tcPr>
            <w:tcW w:type="dxa" w:w="2924"/>
            <w:tcMar>
              <w:top w:w="60" w:type="dxa"/>
              <w:start w:w="90" w:type="dxa"/>
              <w:bottom w:w="60" w:type="dxa"/>
              <w:end w:w="90" w:type="dxa"/>
            </w:tcMar>
            <w:shd w:val="clear" w:color="auto" w:fill="F2F5FB"/>
          </w:tcPr>
          <w:p>
            <w:pPr>
              <w:spacing w:after="0" w:line="252" w:lineRule="auto"/>
            </w:pPr>
            <w:r>
              <w:rPr>
                <w:rFonts w:ascii="Calibri" w:hAnsi="Calibri"/>
                <w:b/>
                <w:sz w:val="17"/>
              </w:rPr>
              <w:t>Classification — logistic regression, decision trees, random forest</w:t>
            </w:r>
          </w:p>
        </w:tc>
        <w:tc>
          <w:tcPr>
            <w:tcW w:type="dxa" w:w="1364"/>
            <w:tcMar>
              <w:top w:w="60" w:type="dxa"/>
              <w:start w:w="90" w:type="dxa"/>
              <w:bottom w:w="60" w:type="dxa"/>
              <w:end w:w="90" w:type="dxa"/>
            </w:tcMar>
            <w:shd w:val="clear" w:color="auto" w:fill="F2F5FB"/>
          </w:tcPr>
          <w:p>
            <w:pPr>
              <w:spacing w:after="0" w:line="252" w:lineRule="auto"/>
            </w:pPr>
            <w:r>
              <w:rPr>
                <w:rFonts w:ascii="Calibri" w:hAnsi="Calibri"/>
                <w:sz w:val="17"/>
              </w:rPr>
              <w:t>SEMESTER 1</w:t>
            </w:r>
          </w:p>
        </w:tc>
        <w:tc>
          <w:tcPr>
            <w:tcW w:type="dxa" w:w="5458"/>
            <w:tcMar>
              <w:top w:w="60" w:type="dxa"/>
              <w:start w:w="90" w:type="dxa"/>
              <w:bottom w:w="60" w:type="dxa"/>
              <w:end w:w="90" w:type="dxa"/>
            </w:tcMar>
            <w:shd w:val="clear" w:color="auto" w:fill="F2F5FB"/>
          </w:tcPr>
          <w:p>
            <w:pPr>
              <w:spacing w:after="0" w:line="252" w:lineRule="auto"/>
            </w:pPr>
            <w:r>
              <w:rPr>
                <w:rFonts w:ascii="Calibri" w:hAnsi="Calibri"/>
                <w:sz w:val="17"/>
              </w:rPr>
              <w:t>Week 9.</w:t>
            </w:r>
          </w:p>
        </w:tc>
      </w:tr>
      <w:tr>
        <w:tc>
          <w:tcPr>
            <w:tcW w:type="dxa" w:w="2924"/>
            <w:tcMar>
              <w:top w:w="60" w:type="dxa"/>
              <w:start w:w="90" w:type="dxa"/>
              <w:bottom w:w="60" w:type="dxa"/>
              <w:end w:w="90" w:type="dxa"/>
            </w:tcMar>
          </w:tcPr>
          <w:p>
            <w:pPr>
              <w:spacing w:after="0" w:line="252" w:lineRule="auto"/>
            </w:pPr>
            <w:r>
              <w:rPr>
                <w:rFonts w:ascii="Calibri" w:hAnsi="Calibri"/>
                <w:b/>
                <w:sz w:val="17"/>
              </w:rPr>
              <w:t>Classification — K-nearest neighbours, support vector machines</w:t>
            </w:r>
          </w:p>
        </w:tc>
        <w:tc>
          <w:tcPr>
            <w:tcW w:type="dxa" w:w="1364"/>
            <w:tcMar>
              <w:top w:w="60" w:type="dxa"/>
              <w:start w:w="90" w:type="dxa"/>
              <w:bottom w:w="60" w:type="dxa"/>
              <w:end w:w="90" w:type="dxa"/>
            </w:tcMar>
          </w:tcPr>
          <w:p>
            <w:pPr>
              <w:spacing w:after="0" w:line="252" w:lineRule="auto"/>
            </w:pPr>
            <w:r>
              <w:rPr>
                <w:rFonts w:ascii="Calibri" w:hAnsi="Calibri"/>
                <w:sz w:val="17"/>
              </w:rPr>
              <w:t>PART · SEMESTER 2</w:t>
            </w:r>
          </w:p>
        </w:tc>
        <w:tc>
          <w:tcPr>
            <w:tcW w:type="dxa" w:w="5458"/>
            <w:tcMar>
              <w:top w:w="60" w:type="dxa"/>
              <w:start w:w="90" w:type="dxa"/>
              <w:bottom w:w="60" w:type="dxa"/>
              <w:end w:w="90" w:type="dxa"/>
            </w:tcMar>
          </w:tcPr>
          <w:p>
            <w:pPr>
              <w:spacing w:after="0" w:line="252" w:lineRule="auto"/>
            </w:pPr>
            <w:r>
              <w:rPr>
                <w:rFonts w:ascii="Calibri" w:hAnsi="Calibri"/>
                <w:sz w:val="17"/>
              </w:rPr>
              <w:t>Not in Semester 1. KNN is a good teaching algorithm and its omission is a deliberate time trade, not an oversight.</w:t>
            </w:r>
          </w:p>
        </w:tc>
      </w:tr>
      <w:tr>
        <w:tc>
          <w:tcPr>
            <w:tcW w:type="dxa" w:w="2924"/>
            <w:tcMar>
              <w:top w:w="60" w:type="dxa"/>
              <w:start w:w="90" w:type="dxa"/>
              <w:bottom w:w="60" w:type="dxa"/>
              <w:end w:w="90" w:type="dxa"/>
            </w:tcMar>
            <w:shd w:val="clear" w:color="auto" w:fill="F2F5FB"/>
          </w:tcPr>
          <w:p>
            <w:pPr>
              <w:spacing w:after="0" w:line="252" w:lineRule="auto"/>
            </w:pPr>
            <w:r>
              <w:rPr>
                <w:rFonts w:ascii="Calibri" w:hAnsi="Calibri"/>
                <w:b/>
                <w:sz w:val="17"/>
              </w:rPr>
              <w:t>Gradient boosting machines</w:t>
            </w:r>
          </w:p>
        </w:tc>
        <w:tc>
          <w:tcPr>
            <w:tcW w:type="dxa" w:w="1364"/>
            <w:tcMar>
              <w:top w:w="60" w:type="dxa"/>
              <w:start w:w="90" w:type="dxa"/>
              <w:bottom w:w="60" w:type="dxa"/>
              <w:end w:w="90" w:type="dxa"/>
            </w:tcMar>
            <w:shd w:val="clear" w:color="auto" w:fill="F2F5FB"/>
          </w:tcPr>
          <w:p>
            <w:pPr>
              <w:spacing w:after="0" w:line="252" w:lineRule="auto"/>
            </w:pPr>
            <w:r>
              <w:rPr>
                <w:rFonts w:ascii="Calibri" w:hAnsi="Calibri"/>
                <w:sz w:val="17"/>
              </w:rPr>
              <w:t>SEMESTER 2</w:t>
            </w:r>
          </w:p>
        </w:tc>
        <w:tc>
          <w:tcPr>
            <w:tcW w:type="dxa" w:w="5458"/>
            <w:tcMar>
              <w:top w:w="60" w:type="dxa"/>
              <w:start w:w="90" w:type="dxa"/>
              <w:bottom w:w="60" w:type="dxa"/>
              <w:end w:w="90" w:type="dxa"/>
            </w:tcMar>
            <w:shd w:val="clear" w:color="auto" w:fill="F2F5FB"/>
          </w:tcPr>
          <w:p>
            <w:pPr>
              <w:spacing w:after="0" w:line="252" w:lineRule="auto"/>
            </w:pPr>
            <w:r>
              <w:rPr>
                <w:rFonts w:ascii="Calibri" w:hAnsi="Calibri"/>
                <w:sz w:val="17"/>
              </w:rPr>
              <w:t>Demonstrated for sixty seconds in Week 12 and then explicitly deferred, with the students told why: the tool is not the lesson.</w:t>
            </w:r>
          </w:p>
        </w:tc>
      </w:tr>
      <w:tr>
        <w:tc>
          <w:tcPr>
            <w:tcW w:type="dxa" w:w="2924"/>
            <w:tcMar>
              <w:top w:w="60" w:type="dxa"/>
              <w:start w:w="90" w:type="dxa"/>
              <w:bottom w:w="60" w:type="dxa"/>
              <w:end w:w="90" w:type="dxa"/>
            </w:tcMar>
          </w:tcPr>
          <w:p>
            <w:pPr>
              <w:spacing w:after="0" w:line="252" w:lineRule="auto"/>
            </w:pPr>
            <w:r>
              <w:rPr>
                <w:rFonts w:ascii="Calibri" w:hAnsi="Calibri"/>
                <w:b/>
                <w:sz w:val="17"/>
              </w:rPr>
              <w:t>Unsupervised learning — clustering (exclusive, overlapping, hierarchical, probabilistic)</w:t>
            </w:r>
          </w:p>
        </w:tc>
        <w:tc>
          <w:tcPr>
            <w:tcW w:type="dxa" w:w="1364"/>
            <w:tcMar>
              <w:top w:w="60" w:type="dxa"/>
              <w:start w:w="90" w:type="dxa"/>
              <w:bottom w:w="60" w:type="dxa"/>
              <w:end w:w="90" w:type="dxa"/>
            </w:tcMar>
          </w:tcPr>
          <w:p>
            <w:pPr>
              <w:spacing w:after="0" w:line="252" w:lineRule="auto"/>
            </w:pPr>
            <w:r>
              <w:rPr>
                <w:rFonts w:ascii="Calibri" w:hAnsi="Calibri"/>
                <w:sz w:val="17"/>
              </w:rPr>
              <w:t>SEMESTER 2</w:t>
            </w:r>
          </w:p>
        </w:tc>
        <w:tc>
          <w:tcPr>
            <w:tcW w:type="dxa" w:w="5458"/>
            <w:tcMar>
              <w:top w:w="60" w:type="dxa"/>
              <w:start w:w="90" w:type="dxa"/>
              <w:bottom w:w="60" w:type="dxa"/>
              <w:end w:w="90" w:type="dxa"/>
            </w:tcMar>
          </w:tcPr>
          <w:p>
            <w:pPr>
              <w:spacing w:after="0" w:line="252" w:lineRule="auto"/>
            </w:pPr>
            <w:r>
              <w:rPr>
                <w:rFonts w:ascii="Calibri" w:hAnsi="Calibri"/>
                <w:sz w:val="17"/>
              </w:rPr>
              <w:t>Semester 2. Only k-means and hierarchical clustering are realistically reachable.</w:t>
            </w:r>
          </w:p>
        </w:tc>
      </w:tr>
      <w:tr>
        <w:tc>
          <w:tcPr>
            <w:tcW w:type="dxa" w:w="2924"/>
            <w:tcMar>
              <w:top w:w="60" w:type="dxa"/>
              <w:start w:w="90" w:type="dxa"/>
              <w:bottom w:w="60" w:type="dxa"/>
              <w:end w:w="90" w:type="dxa"/>
            </w:tcMar>
            <w:shd w:val="clear" w:color="auto" w:fill="F2F5FB"/>
          </w:tcPr>
          <w:p>
            <w:pPr>
              <w:spacing w:after="0" w:line="252" w:lineRule="auto"/>
            </w:pPr>
            <w:r>
              <w:rPr>
                <w:rFonts w:ascii="Calibri" w:hAnsi="Calibri"/>
                <w:b/>
                <w:sz w:val="17"/>
              </w:rPr>
              <w:t>Unsupervised learning — PCA, autoencoders</w:t>
            </w:r>
          </w:p>
        </w:tc>
        <w:tc>
          <w:tcPr>
            <w:tcW w:type="dxa" w:w="1364"/>
            <w:tcMar>
              <w:top w:w="60" w:type="dxa"/>
              <w:start w:w="90" w:type="dxa"/>
              <w:bottom w:w="60" w:type="dxa"/>
              <w:end w:w="90" w:type="dxa"/>
            </w:tcMar>
            <w:shd w:val="clear" w:color="auto" w:fill="F2F5FB"/>
          </w:tcPr>
          <w:p>
            <w:pPr>
              <w:spacing w:after="0" w:line="252" w:lineRule="auto"/>
            </w:pPr>
            <w:r>
              <w:rPr>
                <w:rFonts w:ascii="Calibri" w:hAnsi="Calibri"/>
                <w:sz w:val="17"/>
              </w:rPr>
              <w:t>SEMESTER 2</w:t>
            </w:r>
          </w:p>
        </w:tc>
        <w:tc>
          <w:tcPr>
            <w:tcW w:type="dxa" w:w="5458"/>
            <w:tcMar>
              <w:top w:w="60" w:type="dxa"/>
              <w:start w:w="90" w:type="dxa"/>
              <w:bottom w:w="60" w:type="dxa"/>
              <w:end w:w="90" w:type="dxa"/>
            </w:tcMar>
            <w:shd w:val="clear" w:color="auto" w:fill="F2F5FB"/>
          </w:tcPr>
          <w:p>
            <w:pPr>
              <w:spacing w:after="0" w:line="252" w:lineRule="auto"/>
            </w:pPr>
            <w:r>
              <w:rPr>
                <w:rFonts w:ascii="Calibri" w:hAnsi="Calibri"/>
                <w:sz w:val="17"/>
              </w:rPr>
              <w:t>PCA in Semester 2. Autoencoders only if the deep learning block runs ahead of schedule.</w:t>
            </w:r>
          </w:p>
        </w:tc>
      </w:tr>
      <w:tr>
        <w:tc>
          <w:tcPr>
            <w:tcW w:type="dxa" w:w="2924"/>
            <w:tcMar>
              <w:top w:w="60" w:type="dxa"/>
              <w:start w:w="90" w:type="dxa"/>
              <w:bottom w:w="60" w:type="dxa"/>
              <w:end w:w="90" w:type="dxa"/>
            </w:tcMar>
          </w:tcPr>
          <w:p>
            <w:pPr>
              <w:spacing w:after="0" w:line="252" w:lineRule="auto"/>
            </w:pPr>
            <w:r>
              <w:rPr>
                <w:rFonts w:ascii="Calibri" w:hAnsi="Calibri"/>
                <w:b/>
                <w:sz w:val="17"/>
              </w:rPr>
              <w:t>Reinforcement learning — Q-learning, deep-Q networks, policy gradient, actor-critic</w:t>
            </w:r>
          </w:p>
        </w:tc>
        <w:tc>
          <w:tcPr>
            <w:tcW w:type="dxa" w:w="1364"/>
            <w:tcMar>
              <w:top w:w="60" w:type="dxa"/>
              <w:start w:w="90" w:type="dxa"/>
              <w:bottom w:w="60" w:type="dxa"/>
              <w:end w:w="90" w:type="dxa"/>
            </w:tcMar>
          </w:tcPr>
          <w:p>
            <w:pPr>
              <w:spacing w:after="0" w:line="252" w:lineRule="auto"/>
            </w:pPr>
            <w:r>
              <w:rPr>
                <w:rFonts w:ascii="Calibri" w:hAnsi="Calibri"/>
                <w:sz w:val="17"/>
              </w:rPr>
              <w:t>NOT COVERED</w:t>
            </w:r>
          </w:p>
        </w:tc>
        <w:tc>
          <w:tcPr>
            <w:tcW w:type="dxa" w:w="5458"/>
            <w:tcMar>
              <w:top w:w="60" w:type="dxa"/>
              <w:start w:w="90" w:type="dxa"/>
              <w:bottom w:w="60" w:type="dxa"/>
              <w:end w:w="90" w:type="dxa"/>
            </w:tcMar>
          </w:tcPr>
          <w:p>
            <w:pPr>
              <w:spacing w:after="0" w:line="252" w:lineRule="auto"/>
            </w:pPr>
            <w:r>
              <w:rPr>
                <w:rFonts w:ascii="Calibri" w:hAnsi="Calibri"/>
                <w:sz w:val="17"/>
              </w:rPr>
              <w:t>Not covered anywhere in either semester. It needs a simulator and a different mental model, and there is no honest way to fit it. Students are told this in Week 1.</w:t>
            </w:r>
          </w:p>
        </w:tc>
      </w:tr>
    </w:tbl>
    <w:p>
      <w:pPr>
        <w:pStyle w:val="Heading2"/>
      </w:pPr>
      <w:r>
        <w:t>Model evaluation — the course's centre of gravity</w:t>
      </w:r>
    </w:p>
    <w:p>
      <w:pPr>
        <w:spacing w:after="160" w:before="0" w:line="276" w:lineRule="auto"/>
      </w:pPr>
      <w:r>
        <w:rPr>
          <w:rFonts w:ascii="Calibri" w:hAnsi="Calibri"/>
          <w:b w:val="0"/>
          <w:i w:val="0"/>
          <w:sz w:val="21"/>
        </w:rPr>
        <w:t>This is the section where the course goes deeper than the roadmap implies, deliberately. Engineering students will be asked to sign their name under a prediction, so 'how do I know I can trust this' carries more weight here than in a general course.</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2923"/>
        <w:gridCol w:w="1364"/>
        <w:gridCol w:w="5457"/>
      </w:tblGrid>
      <w:tr>
        <w:trPr>
          <w:tblHeader w:val="true"/>
        </w:trPr>
        <w:tc>
          <w:tcPr>
            <w:tcW w:type="dxa" w:w="2924"/>
            <w:shd w:val="clear" w:color="auto" w:fill="1F3864"/>
            <w:tcMar>
              <w:top w:w="60" w:type="dxa"/>
              <w:start w:w="90" w:type="dxa"/>
              <w:bottom w:w="60" w:type="dxa"/>
              <w:end w:w="90" w:type="dxa"/>
            </w:tcMar>
          </w:tcPr>
          <w:p>
            <w:pPr>
              <w:spacing w:after="0" w:line="240" w:lineRule="auto"/>
            </w:pPr>
            <w:r>
              <w:rPr>
                <w:rFonts w:ascii="Calibri" w:hAnsi="Calibri"/>
                <w:b/>
                <w:color w:val="FFFFFF"/>
                <w:sz w:val="17"/>
              </w:rPr>
              <w:t>roadmap.sh node</w:t>
            </w:r>
          </w:p>
        </w:tc>
        <w:tc>
          <w:tcPr>
            <w:tcW w:type="dxa" w:w="1364"/>
            <w:shd w:val="clear" w:color="auto" w:fill="1F3864"/>
            <w:tcMar>
              <w:top w:w="60" w:type="dxa"/>
              <w:start w:w="90" w:type="dxa"/>
              <w:bottom w:w="60" w:type="dxa"/>
              <w:end w:w="90" w:type="dxa"/>
            </w:tcMar>
          </w:tcPr>
          <w:p>
            <w:pPr>
              <w:spacing w:after="0" w:line="240" w:lineRule="auto"/>
            </w:pPr>
            <w:r>
              <w:rPr>
                <w:rFonts w:ascii="Calibri" w:hAnsi="Calibri"/>
                <w:b/>
                <w:color w:val="FFFFFF"/>
                <w:sz w:val="17"/>
              </w:rPr>
              <w:t>Status</w:t>
            </w:r>
          </w:p>
        </w:tc>
        <w:tc>
          <w:tcPr>
            <w:tcW w:type="dxa" w:w="5458"/>
            <w:shd w:val="clear" w:color="auto" w:fill="1F3864"/>
            <w:tcMar>
              <w:top w:w="60" w:type="dxa"/>
              <w:start w:w="90" w:type="dxa"/>
              <w:bottom w:w="60" w:type="dxa"/>
              <w:end w:w="90" w:type="dxa"/>
            </w:tcMar>
          </w:tcPr>
          <w:p>
            <w:pPr>
              <w:spacing w:after="0" w:line="240" w:lineRule="auto"/>
            </w:pPr>
            <w:r>
              <w:rPr>
                <w:rFonts w:ascii="Calibri" w:hAnsi="Calibri"/>
                <w:b/>
                <w:color w:val="FFFFFF"/>
                <w:sz w:val="17"/>
              </w:rPr>
              <w:t>Where, and what we actually do</w:t>
            </w:r>
          </w:p>
        </w:tc>
      </w:tr>
      <w:tr>
        <w:tc>
          <w:tcPr>
            <w:tcW w:type="dxa" w:w="2924"/>
            <w:tcMar>
              <w:top w:w="60" w:type="dxa"/>
              <w:start w:w="90" w:type="dxa"/>
              <w:bottom w:w="60" w:type="dxa"/>
              <w:end w:w="90" w:type="dxa"/>
            </w:tcMar>
          </w:tcPr>
          <w:p>
            <w:pPr>
              <w:spacing w:after="0" w:line="252" w:lineRule="auto"/>
            </w:pPr>
            <w:r>
              <w:rPr>
                <w:rFonts w:ascii="Calibri" w:hAnsi="Calibri"/>
                <w:b/>
                <w:sz w:val="17"/>
              </w:rPr>
              <w:t>What is model evaluation? Why is it important?</w:t>
            </w:r>
          </w:p>
        </w:tc>
        <w:tc>
          <w:tcPr>
            <w:tcW w:type="dxa" w:w="1364"/>
            <w:tcMar>
              <w:top w:w="60" w:type="dxa"/>
              <w:start w:w="90" w:type="dxa"/>
              <w:bottom w:w="60" w:type="dxa"/>
              <w:end w:w="90" w:type="dxa"/>
            </w:tcMar>
          </w:tcPr>
          <w:p>
            <w:pPr>
              <w:spacing w:after="0" w:line="252" w:lineRule="auto"/>
            </w:pPr>
            <w:r>
              <w:rPr>
                <w:rFonts w:ascii="Calibri" w:hAnsi="Calibri"/>
                <w:sz w:val="17"/>
              </w:rPr>
              <w:t>SEMESTER 1</w:t>
            </w:r>
          </w:p>
        </w:tc>
        <w:tc>
          <w:tcPr>
            <w:tcW w:type="dxa" w:w="5458"/>
            <w:tcMar>
              <w:top w:w="60" w:type="dxa"/>
              <w:start w:w="90" w:type="dxa"/>
              <w:bottom w:w="60" w:type="dxa"/>
              <w:end w:w="90" w:type="dxa"/>
            </w:tcMar>
          </w:tcPr>
          <w:p>
            <w:pPr>
              <w:spacing w:after="0" w:line="252" w:lineRule="auto"/>
            </w:pPr>
            <w:r>
              <w:rPr>
                <w:rFonts w:ascii="Calibri" w:hAnsi="Calibri"/>
                <w:sz w:val="17"/>
              </w:rPr>
              <w:t>Week 10, an entire three-hour session, plus the concept is seeded in Week 1 through the hand-prediction exercise where students measure their own error.</w:t>
            </w:r>
          </w:p>
        </w:tc>
      </w:tr>
      <w:tr>
        <w:tc>
          <w:tcPr>
            <w:tcW w:type="dxa" w:w="2924"/>
            <w:tcMar>
              <w:top w:w="60" w:type="dxa"/>
              <w:start w:w="90" w:type="dxa"/>
              <w:bottom w:w="60" w:type="dxa"/>
              <w:end w:w="90" w:type="dxa"/>
            </w:tcMar>
            <w:shd w:val="clear" w:color="auto" w:fill="F2F5FB"/>
          </w:tcPr>
          <w:p>
            <w:pPr>
              <w:spacing w:after="0" w:line="252" w:lineRule="auto"/>
            </w:pPr>
            <w:r>
              <w:rPr>
                <w:rFonts w:ascii="Calibri" w:hAnsi="Calibri"/>
                <w:b/>
                <w:sz w:val="17"/>
              </w:rPr>
              <w:t>Metrics — accuracy, precision, recall, F1, ROC-AUC, log loss, confusion matrix</w:t>
            </w:r>
          </w:p>
        </w:tc>
        <w:tc>
          <w:tcPr>
            <w:tcW w:type="dxa" w:w="1364"/>
            <w:tcMar>
              <w:top w:w="60" w:type="dxa"/>
              <w:start w:w="90" w:type="dxa"/>
              <w:bottom w:w="60" w:type="dxa"/>
              <w:end w:w="90" w:type="dxa"/>
            </w:tcMar>
            <w:shd w:val="clear" w:color="auto" w:fill="F2F5FB"/>
          </w:tcPr>
          <w:p>
            <w:pPr>
              <w:spacing w:after="0" w:line="252" w:lineRule="auto"/>
            </w:pPr>
            <w:r>
              <w:rPr>
                <w:rFonts w:ascii="Calibri" w:hAnsi="Calibri"/>
                <w:sz w:val="17"/>
              </w:rPr>
              <w:t>SEMESTER 1</w:t>
            </w:r>
          </w:p>
        </w:tc>
        <w:tc>
          <w:tcPr>
            <w:tcW w:type="dxa" w:w="5458"/>
            <w:tcMar>
              <w:top w:w="60" w:type="dxa"/>
              <w:start w:w="90" w:type="dxa"/>
              <w:bottom w:w="60" w:type="dxa"/>
              <w:end w:w="90" w:type="dxa"/>
            </w:tcMar>
            <w:shd w:val="clear" w:color="auto" w:fill="F2F5FB"/>
          </w:tcPr>
          <w:p>
            <w:pPr>
              <w:spacing w:after="0" w:line="252" w:lineRule="auto"/>
            </w:pPr>
            <w:r>
              <w:rPr>
                <w:rFonts w:ascii="Calibri" w:hAnsi="Calibri"/>
                <w:sz w:val="17"/>
              </w:rPr>
              <w:t>Week 9 and Week 10. Accuracy, precision, recall, F1 and the confusion matrix in full. ROC-AUC is introduced; log loss is named but not examined.</w:t>
            </w:r>
          </w:p>
        </w:tc>
      </w:tr>
      <w:tr>
        <w:tc>
          <w:tcPr>
            <w:tcW w:type="dxa" w:w="2924"/>
            <w:tcMar>
              <w:top w:w="60" w:type="dxa"/>
              <w:start w:w="90" w:type="dxa"/>
              <w:bottom w:w="60" w:type="dxa"/>
              <w:end w:w="90" w:type="dxa"/>
            </w:tcMar>
          </w:tcPr>
          <w:p>
            <w:pPr>
              <w:spacing w:after="0" w:line="252" w:lineRule="auto"/>
            </w:pPr>
            <w:r>
              <w:rPr>
                <w:rFonts w:ascii="Calibri" w:hAnsi="Calibri"/>
                <w:b/>
                <w:sz w:val="17"/>
              </w:rPr>
              <w:t>Validation techniques — k-fold cross-validation</w:t>
            </w:r>
          </w:p>
        </w:tc>
        <w:tc>
          <w:tcPr>
            <w:tcW w:type="dxa" w:w="1364"/>
            <w:tcMar>
              <w:top w:w="60" w:type="dxa"/>
              <w:start w:w="90" w:type="dxa"/>
              <w:bottom w:w="60" w:type="dxa"/>
              <w:end w:w="90" w:type="dxa"/>
            </w:tcMar>
          </w:tcPr>
          <w:p>
            <w:pPr>
              <w:spacing w:after="0" w:line="252" w:lineRule="auto"/>
            </w:pPr>
            <w:r>
              <w:rPr>
                <w:rFonts w:ascii="Calibri" w:hAnsi="Calibri"/>
                <w:sz w:val="17"/>
              </w:rPr>
              <w:t>SEMESTER 1</w:t>
            </w:r>
          </w:p>
        </w:tc>
        <w:tc>
          <w:tcPr>
            <w:tcW w:type="dxa" w:w="5458"/>
            <w:tcMar>
              <w:top w:w="60" w:type="dxa"/>
              <w:start w:w="90" w:type="dxa"/>
              <w:bottom w:w="60" w:type="dxa"/>
              <w:end w:w="90" w:type="dxa"/>
            </w:tcMar>
          </w:tcPr>
          <w:p>
            <w:pPr>
              <w:spacing w:after="0" w:line="252" w:lineRule="auto"/>
            </w:pPr>
            <w:r>
              <w:rPr>
                <w:rFonts w:ascii="Calibri" w:hAnsi="Calibri"/>
                <w:sz w:val="17"/>
              </w:rPr>
              <w:t>Week 10, reported as a mean with a spread rather than a single number.</w:t>
            </w:r>
          </w:p>
        </w:tc>
      </w:tr>
      <w:tr>
        <w:tc>
          <w:tcPr>
            <w:tcW w:type="dxa" w:w="2924"/>
            <w:tcMar>
              <w:top w:w="60" w:type="dxa"/>
              <w:start w:w="90" w:type="dxa"/>
              <w:bottom w:w="60" w:type="dxa"/>
              <w:end w:w="90" w:type="dxa"/>
            </w:tcMar>
            <w:shd w:val="clear" w:color="auto" w:fill="F2F5FB"/>
          </w:tcPr>
          <w:p>
            <w:pPr>
              <w:spacing w:after="0" w:line="252" w:lineRule="auto"/>
            </w:pPr>
            <w:r>
              <w:rPr>
                <w:rFonts w:ascii="Calibri" w:hAnsi="Calibri"/>
                <w:b/>
                <w:sz w:val="17"/>
              </w:rPr>
              <w:t>Leave-one-out cross-validation</w:t>
            </w:r>
          </w:p>
        </w:tc>
        <w:tc>
          <w:tcPr>
            <w:tcW w:type="dxa" w:w="1364"/>
            <w:tcMar>
              <w:top w:w="60" w:type="dxa"/>
              <w:start w:w="90" w:type="dxa"/>
              <w:bottom w:w="60" w:type="dxa"/>
              <w:end w:w="90" w:type="dxa"/>
            </w:tcMar>
            <w:shd w:val="clear" w:color="auto" w:fill="F2F5FB"/>
          </w:tcPr>
          <w:p>
            <w:pPr>
              <w:spacing w:after="0" w:line="252" w:lineRule="auto"/>
            </w:pPr>
            <w:r>
              <w:rPr>
                <w:rFonts w:ascii="Calibri" w:hAnsi="Calibri"/>
                <w:sz w:val="17"/>
              </w:rPr>
              <w:t>NOT COVERED</w:t>
            </w:r>
          </w:p>
        </w:tc>
        <w:tc>
          <w:tcPr>
            <w:tcW w:type="dxa" w:w="5458"/>
            <w:tcMar>
              <w:top w:w="60" w:type="dxa"/>
              <w:start w:w="90" w:type="dxa"/>
              <w:bottom w:w="60" w:type="dxa"/>
              <w:end w:w="90" w:type="dxa"/>
            </w:tcMar>
            <w:shd w:val="clear" w:color="auto" w:fill="F2F5FB"/>
          </w:tcPr>
          <w:p>
            <w:pPr>
              <w:spacing w:after="0" w:line="252" w:lineRule="auto"/>
            </w:pPr>
            <w:r>
              <w:rPr>
                <w:rFonts w:ascii="Calibri" w:hAnsi="Calibri"/>
                <w:sz w:val="17"/>
              </w:rPr>
              <w:t>Mentioned only. Rarely the right choice at these dataset sizes.</w:t>
            </w:r>
          </w:p>
        </w:tc>
      </w:tr>
      <w:tr>
        <w:tc>
          <w:tcPr>
            <w:tcW w:type="dxa" w:w="2924"/>
            <w:tcMar>
              <w:top w:w="60" w:type="dxa"/>
              <w:start w:w="90" w:type="dxa"/>
              <w:bottom w:w="60" w:type="dxa"/>
              <w:end w:w="90" w:type="dxa"/>
            </w:tcMar>
          </w:tcPr>
          <w:p>
            <w:pPr>
              <w:spacing w:after="0" w:line="252" w:lineRule="auto"/>
            </w:pPr>
            <w:r>
              <w:rPr>
                <w:rFonts w:ascii="Calibri" w:hAnsi="Calibri"/>
                <w:b/>
                <w:sz w:val="17"/>
              </w:rPr>
              <w:t>Data leakage</w:t>
            </w:r>
          </w:p>
        </w:tc>
        <w:tc>
          <w:tcPr>
            <w:tcW w:type="dxa" w:w="1364"/>
            <w:tcMar>
              <w:top w:w="60" w:type="dxa"/>
              <w:start w:w="90" w:type="dxa"/>
              <w:bottom w:w="60" w:type="dxa"/>
              <w:end w:w="90" w:type="dxa"/>
            </w:tcMar>
          </w:tcPr>
          <w:p>
            <w:pPr>
              <w:spacing w:after="0" w:line="252" w:lineRule="auto"/>
            </w:pPr>
            <w:r>
              <w:rPr>
                <w:rFonts w:ascii="Calibri" w:hAnsi="Calibri"/>
                <w:sz w:val="17"/>
              </w:rPr>
              <w:t>S1 — BEYOND THE ROADMAP</w:t>
            </w:r>
          </w:p>
        </w:tc>
        <w:tc>
          <w:tcPr>
            <w:tcW w:type="dxa" w:w="5458"/>
            <w:tcMar>
              <w:top w:w="60" w:type="dxa"/>
              <w:start w:w="90" w:type="dxa"/>
              <w:bottom w:w="60" w:type="dxa"/>
              <w:end w:w="90" w:type="dxa"/>
            </w:tcMar>
          </w:tcPr>
          <w:p>
            <w:pPr>
              <w:spacing w:after="0" w:line="252" w:lineRule="auto"/>
            </w:pPr>
            <w:r>
              <w:rPr>
                <w:rFonts w:ascii="Calibri" w:hAnsi="Calibri"/>
                <w:sz w:val="17"/>
              </w:rPr>
              <w:t>The roadmap does not list leakage as a node. We give it half of Week 10, because it is the defect most likely to appear in a student project and in professional practice, and it produces a model that looks excellent and is useless.</w:t>
            </w:r>
          </w:p>
        </w:tc>
      </w:tr>
    </w:tbl>
    <w:p>
      <w:r>
        <w:br w:type="page"/>
      </w:r>
    </w:p>
    <w:p>
      <w:pPr>
        <w:pStyle w:val="Heading2"/>
      </w:pPr>
      <w:r>
        <w:t>Deep learning and beyond — Semester 2</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2923"/>
        <w:gridCol w:w="1364"/>
        <w:gridCol w:w="5457"/>
      </w:tblGrid>
      <w:tr>
        <w:trPr>
          <w:tblHeader w:val="true"/>
        </w:trPr>
        <w:tc>
          <w:tcPr>
            <w:tcW w:type="dxa" w:w="2924"/>
            <w:shd w:val="clear" w:color="auto" w:fill="1F3864"/>
            <w:tcMar>
              <w:top w:w="60" w:type="dxa"/>
              <w:start w:w="90" w:type="dxa"/>
              <w:bottom w:w="60" w:type="dxa"/>
              <w:end w:w="90" w:type="dxa"/>
            </w:tcMar>
          </w:tcPr>
          <w:p>
            <w:pPr>
              <w:spacing w:after="0" w:line="240" w:lineRule="auto"/>
            </w:pPr>
            <w:r>
              <w:rPr>
                <w:rFonts w:ascii="Calibri" w:hAnsi="Calibri"/>
                <w:b/>
                <w:color w:val="FFFFFF"/>
                <w:sz w:val="17"/>
              </w:rPr>
              <w:t>roadmap.sh node</w:t>
            </w:r>
          </w:p>
        </w:tc>
        <w:tc>
          <w:tcPr>
            <w:tcW w:type="dxa" w:w="1364"/>
            <w:shd w:val="clear" w:color="auto" w:fill="1F3864"/>
            <w:tcMar>
              <w:top w:w="60" w:type="dxa"/>
              <w:start w:w="90" w:type="dxa"/>
              <w:bottom w:w="60" w:type="dxa"/>
              <w:end w:w="90" w:type="dxa"/>
            </w:tcMar>
          </w:tcPr>
          <w:p>
            <w:pPr>
              <w:spacing w:after="0" w:line="240" w:lineRule="auto"/>
            </w:pPr>
            <w:r>
              <w:rPr>
                <w:rFonts w:ascii="Calibri" w:hAnsi="Calibri"/>
                <w:b/>
                <w:color w:val="FFFFFF"/>
                <w:sz w:val="17"/>
              </w:rPr>
              <w:t>Status</w:t>
            </w:r>
          </w:p>
        </w:tc>
        <w:tc>
          <w:tcPr>
            <w:tcW w:type="dxa" w:w="5458"/>
            <w:shd w:val="clear" w:color="auto" w:fill="1F3864"/>
            <w:tcMar>
              <w:top w:w="60" w:type="dxa"/>
              <w:start w:w="90" w:type="dxa"/>
              <w:bottom w:w="60" w:type="dxa"/>
              <w:end w:w="90" w:type="dxa"/>
            </w:tcMar>
          </w:tcPr>
          <w:p>
            <w:pPr>
              <w:spacing w:after="0" w:line="240" w:lineRule="auto"/>
            </w:pPr>
            <w:r>
              <w:rPr>
                <w:rFonts w:ascii="Calibri" w:hAnsi="Calibri"/>
                <w:b/>
                <w:color w:val="FFFFFF"/>
                <w:sz w:val="17"/>
              </w:rPr>
              <w:t>Where, and what we actually do</w:t>
            </w:r>
          </w:p>
        </w:tc>
      </w:tr>
      <w:tr>
        <w:tc>
          <w:tcPr>
            <w:tcW w:type="dxa" w:w="2924"/>
            <w:tcMar>
              <w:top w:w="60" w:type="dxa"/>
              <w:start w:w="90" w:type="dxa"/>
              <w:bottom w:w="60" w:type="dxa"/>
              <w:end w:w="90" w:type="dxa"/>
            </w:tcMar>
          </w:tcPr>
          <w:p>
            <w:pPr>
              <w:spacing w:after="0" w:line="252" w:lineRule="auto"/>
            </w:pPr>
            <w:r>
              <w:rPr>
                <w:rFonts w:ascii="Calibri" w:hAnsi="Calibri"/>
                <w:b/>
                <w:sz w:val="17"/>
              </w:rPr>
              <w:t>Neural network basics — perceptron, MLP, forward and back propagation, activation and loss functions</w:t>
            </w:r>
          </w:p>
        </w:tc>
        <w:tc>
          <w:tcPr>
            <w:tcW w:type="dxa" w:w="1364"/>
            <w:tcMar>
              <w:top w:w="60" w:type="dxa"/>
              <w:start w:w="90" w:type="dxa"/>
              <w:bottom w:w="60" w:type="dxa"/>
              <w:end w:w="90" w:type="dxa"/>
            </w:tcMar>
          </w:tcPr>
          <w:p>
            <w:pPr>
              <w:spacing w:after="0" w:line="252" w:lineRule="auto"/>
            </w:pPr>
            <w:r>
              <w:rPr>
                <w:rFonts w:ascii="Calibri" w:hAnsi="Calibri"/>
                <w:sz w:val="17"/>
              </w:rPr>
              <w:t>SEMESTER 2</w:t>
            </w:r>
          </w:p>
        </w:tc>
        <w:tc>
          <w:tcPr>
            <w:tcW w:type="dxa" w:w="5458"/>
            <w:tcMar>
              <w:top w:w="60" w:type="dxa"/>
              <w:start w:w="90" w:type="dxa"/>
              <w:bottom w:w="60" w:type="dxa"/>
              <w:end w:w="90" w:type="dxa"/>
            </w:tcMar>
          </w:tcPr>
          <w:p>
            <w:pPr>
              <w:spacing w:after="0" w:line="252" w:lineRule="auto"/>
            </w:pPr>
            <w:r>
              <w:rPr>
                <w:rFonts w:ascii="Calibri" w:hAnsi="Calibri"/>
                <w:sz w:val="17"/>
              </w:rPr>
              <w:t>Semester 2. The engineering cohort's calculus makes back-propagation teachable rather than hand-waved.</w:t>
            </w:r>
          </w:p>
        </w:tc>
      </w:tr>
      <w:tr>
        <w:tc>
          <w:tcPr>
            <w:tcW w:type="dxa" w:w="2924"/>
            <w:tcMar>
              <w:top w:w="60" w:type="dxa"/>
              <w:start w:w="90" w:type="dxa"/>
              <w:bottom w:w="60" w:type="dxa"/>
              <w:end w:w="90" w:type="dxa"/>
            </w:tcMar>
            <w:shd w:val="clear" w:color="auto" w:fill="F2F5FB"/>
          </w:tcPr>
          <w:p>
            <w:pPr>
              <w:spacing w:after="0" w:line="252" w:lineRule="auto"/>
            </w:pPr>
            <w:r>
              <w:rPr>
                <w:rFonts w:ascii="Calibri" w:hAnsi="Calibri"/>
                <w:b/>
                <w:sz w:val="17"/>
              </w:rPr>
              <w:t>Deep learning libraries — TensorFlow, Keras, PyTorch</w:t>
            </w:r>
          </w:p>
        </w:tc>
        <w:tc>
          <w:tcPr>
            <w:tcW w:type="dxa" w:w="1364"/>
            <w:tcMar>
              <w:top w:w="60" w:type="dxa"/>
              <w:start w:w="90" w:type="dxa"/>
              <w:bottom w:w="60" w:type="dxa"/>
              <w:end w:w="90" w:type="dxa"/>
            </w:tcMar>
            <w:shd w:val="clear" w:color="auto" w:fill="F2F5FB"/>
          </w:tcPr>
          <w:p>
            <w:pPr>
              <w:spacing w:after="0" w:line="252" w:lineRule="auto"/>
            </w:pPr>
            <w:r>
              <w:rPr>
                <w:rFonts w:ascii="Calibri" w:hAnsi="Calibri"/>
                <w:sz w:val="17"/>
              </w:rPr>
              <w:t>PART · SEMESTER 2</w:t>
            </w:r>
          </w:p>
        </w:tc>
        <w:tc>
          <w:tcPr>
            <w:tcW w:type="dxa" w:w="5458"/>
            <w:tcMar>
              <w:top w:w="60" w:type="dxa"/>
              <w:start w:w="90" w:type="dxa"/>
              <w:bottom w:w="60" w:type="dxa"/>
              <w:end w:w="90" w:type="dxa"/>
            </w:tcMar>
            <w:shd w:val="clear" w:color="auto" w:fill="F2F5FB"/>
          </w:tcPr>
          <w:p>
            <w:pPr>
              <w:spacing w:after="0" w:line="252" w:lineRule="auto"/>
            </w:pPr>
            <w:r>
              <w:rPr>
                <w:rFonts w:ascii="Calibri" w:hAnsi="Calibri"/>
                <w:sz w:val="17"/>
              </w:rPr>
              <w:t>PyTorch only. Teaching two frameworks to beginners halves the depth in both.</w:t>
            </w:r>
          </w:p>
        </w:tc>
      </w:tr>
      <w:tr>
        <w:tc>
          <w:tcPr>
            <w:tcW w:type="dxa" w:w="2924"/>
            <w:tcMar>
              <w:top w:w="60" w:type="dxa"/>
              <w:start w:w="90" w:type="dxa"/>
              <w:bottom w:w="60" w:type="dxa"/>
              <w:end w:w="90" w:type="dxa"/>
            </w:tcMar>
          </w:tcPr>
          <w:p>
            <w:pPr>
              <w:spacing w:after="0" w:line="252" w:lineRule="auto"/>
            </w:pPr>
            <w:r>
              <w:rPr>
                <w:rFonts w:ascii="Calibri" w:hAnsi="Calibri"/>
                <w:b/>
                <w:sz w:val="17"/>
              </w:rPr>
              <w:t>Convolutional neural networks — convolution, pooling, padding, strides</w:t>
            </w:r>
          </w:p>
        </w:tc>
        <w:tc>
          <w:tcPr>
            <w:tcW w:type="dxa" w:w="1364"/>
            <w:tcMar>
              <w:top w:w="60" w:type="dxa"/>
              <w:start w:w="90" w:type="dxa"/>
              <w:bottom w:w="60" w:type="dxa"/>
              <w:end w:w="90" w:type="dxa"/>
            </w:tcMar>
          </w:tcPr>
          <w:p>
            <w:pPr>
              <w:spacing w:after="0" w:line="252" w:lineRule="auto"/>
            </w:pPr>
            <w:r>
              <w:rPr>
                <w:rFonts w:ascii="Calibri" w:hAnsi="Calibri"/>
                <w:sz w:val="17"/>
              </w:rPr>
              <w:t>SEMESTER 2</w:t>
            </w:r>
          </w:p>
        </w:tc>
        <w:tc>
          <w:tcPr>
            <w:tcW w:type="dxa" w:w="5458"/>
            <w:tcMar>
              <w:top w:w="60" w:type="dxa"/>
              <w:start w:w="90" w:type="dxa"/>
              <w:bottom w:w="60" w:type="dxa"/>
              <w:end w:w="90" w:type="dxa"/>
            </w:tcMar>
          </w:tcPr>
          <w:p>
            <w:pPr>
              <w:spacing w:after="0" w:line="252" w:lineRule="auto"/>
            </w:pPr>
            <w:r>
              <w:rPr>
                <w:rFonts w:ascii="Calibri" w:hAnsi="Calibri"/>
                <w:sz w:val="17"/>
              </w:rPr>
              <w:t>Semester 2, with transfer learning, because training from scratch is not realistic on the available hardware.</w:t>
            </w:r>
          </w:p>
        </w:tc>
      </w:tr>
      <w:tr>
        <w:tc>
          <w:tcPr>
            <w:tcW w:type="dxa" w:w="2924"/>
            <w:tcMar>
              <w:top w:w="60" w:type="dxa"/>
              <w:start w:w="90" w:type="dxa"/>
              <w:bottom w:w="60" w:type="dxa"/>
              <w:end w:w="90" w:type="dxa"/>
            </w:tcMar>
            <w:shd w:val="clear" w:color="auto" w:fill="F2F5FB"/>
          </w:tcPr>
          <w:p>
            <w:pPr>
              <w:spacing w:after="0" w:line="252" w:lineRule="auto"/>
            </w:pPr>
            <w:r>
              <w:rPr>
                <w:rFonts w:ascii="Calibri" w:hAnsi="Calibri"/>
                <w:b/>
                <w:sz w:val="17"/>
              </w:rPr>
              <w:t>Applications of CNNs — image classification, segmentation, recommendation systems</w:t>
            </w:r>
          </w:p>
        </w:tc>
        <w:tc>
          <w:tcPr>
            <w:tcW w:type="dxa" w:w="1364"/>
            <w:tcMar>
              <w:top w:w="60" w:type="dxa"/>
              <w:start w:w="90" w:type="dxa"/>
              <w:bottom w:w="60" w:type="dxa"/>
              <w:end w:w="90" w:type="dxa"/>
            </w:tcMar>
            <w:shd w:val="clear" w:color="auto" w:fill="F2F5FB"/>
          </w:tcPr>
          <w:p>
            <w:pPr>
              <w:spacing w:after="0" w:line="252" w:lineRule="auto"/>
            </w:pPr>
            <w:r>
              <w:rPr>
                <w:rFonts w:ascii="Calibri" w:hAnsi="Calibri"/>
                <w:sz w:val="17"/>
              </w:rPr>
              <w:t>PART · SEMESTER 2</w:t>
            </w:r>
          </w:p>
        </w:tc>
        <w:tc>
          <w:tcPr>
            <w:tcW w:type="dxa" w:w="5458"/>
            <w:tcMar>
              <w:top w:w="60" w:type="dxa"/>
              <w:start w:w="90" w:type="dxa"/>
              <w:bottom w:w="60" w:type="dxa"/>
              <w:end w:w="90" w:type="dxa"/>
            </w:tcMar>
            <w:shd w:val="clear" w:color="auto" w:fill="F2F5FB"/>
          </w:tcPr>
          <w:p>
            <w:pPr>
              <w:spacing w:after="0" w:line="252" w:lineRule="auto"/>
            </w:pPr>
            <w:r>
              <w:rPr>
                <w:rFonts w:ascii="Calibri" w:hAnsi="Calibri"/>
                <w:sz w:val="17"/>
              </w:rPr>
              <w:t>Image classification yes; segmentation and recommenders no.</w:t>
            </w:r>
          </w:p>
        </w:tc>
      </w:tr>
      <w:tr>
        <w:tc>
          <w:tcPr>
            <w:tcW w:type="dxa" w:w="2924"/>
            <w:tcMar>
              <w:top w:w="60" w:type="dxa"/>
              <w:start w:w="90" w:type="dxa"/>
              <w:bottom w:w="60" w:type="dxa"/>
              <w:end w:w="90" w:type="dxa"/>
            </w:tcMar>
          </w:tcPr>
          <w:p>
            <w:pPr>
              <w:spacing w:after="0" w:line="252" w:lineRule="auto"/>
            </w:pPr>
            <w:r>
              <w:rPr>
                <w:rFonts w:ascii="Calibri" w:hAnsi="Calibri"/>
                <w:b/>
                <w:sz w:val="17"/>
              </w:rPr>
              <w:t>Recurrent neural networks — RNN, GRU, LSTM</w:t>
            </w:r>
          </w:p>
        </w:tc>
        <w:tc>
          <w:tcPr>
            <w:tcW w:type="dxa" w:w="1364"/>
            <w:tcMar>
              <w:top w:w="60" w:type="dxa"/>
              <w:start w:w="90" w:type="dxa"/>
              <w:bottom w:w="60" w:type="dxa"/>
              <w:end w:w="90" w:type="dxa"/>
            </w:tcMar>
          </w:tcPr>
          <w:p>
            <w:pPr>
              <w:spacing w:after="0" w:line="252" w:lineRule="auto"/>
            </w:pPr>
            <w:r>
              <w:rPr>
                <w:rFonts w:ascii="Calibri" w:hAnsi="Calibri"/>
                <w:sz w:val="17"/>
              </w:rPr>
              <w:t>PART · SEMESTER 2</w:t>
            </w:r>
          </w:p>
        </w:tc>
        <w:tc>
          <w:tcPr>
            <w:tcW w:type="dxa" w:w="5458"/>
            <w:tcMar>
              <w:top w:w="60" w:type="dxa"/>
              <w:start w:w="90" w:type="dxa"/>
              <w:bottom w:w="60" w:type="dxa"/>
              <w:end w:w="90" w:type="dxa"/>
            </w:tcMar>
          </w:tcPr>
          <w:p>
            <w:pPr>
              <w:spacing w:after="0" w:line="252" w:lineRule="auto"/>
            </w:pPr>
            <w:r>
              <w:rPr>
                <w:rFonts w:ascii="Calibri" w:hAnsi="Calibri"/>
                <w:sz w:val="17"/>
              </w:rPr>
              <w:t>Semester 2 time-series block. Classical time-series methods come first because they are more often the right answer on engineering sensor data.</w:t>
            </w:r>
          </w:p>
        </w:tc>
      </w:tr>
      <w:tr>
        <w:tc>
          <w:tcPr>
            <w:tcW w:type="dxa" w:w="2924"/>
            <w:tcMar>
              <w:top w:w="60" w:type="dxa"/>
              <w:start w:w="90" w:type="dxa"/>
              <w:bottom w:w="60" w:type="dxa"/>
              <w:end w:w="90" w:type="dxa"/>
            </w:tcMar>
            <w:shd w:val="clear" w:color="auto" w:fill="F2F5FB"/>
          </w:tcPr>
          <w:p>
            <w:pPr>
              <w:spacing w:after="0" w:line="252" w:lineRule="auto"/>
            </w:pPr>
            <w:r>
              <w:rPr>
                <w:rFonts w:ascii="Calibri" w:hAnsi="Calibri"/>
                <w:b/>
                <w:sz w:val="17"/>
              </w:rPr>
              <w:t>Attention mechanisms — self-attention, transformers, multi-head attention</w:t>
            </w:r>
          </w:p>
        </w:tc>
        <w:tc>
          <w:tcPr>
            <w:tcW w:type="dxa" w:w="1364"/>
            <w:tcMar>
              <w:top w:w="60" w:type="dxa"/>
              <w:start w:w="90" w:type="dxa"/>
              <w:bottom w:w="60" w:type="dxa"/>
              <w:end w:w="90" w:type="dxa"/>
            </w:tcMar>
            <w:shd w:val="clear" w:color="auto" w:fill="F2F5FB"/>
          </w:tcPr>
          <w:p>
            <w:pPr>
              <w:spacing w:after="0" w:line="252" w:lineRule="auto"/>
            </w:pPr>
            <w:r>
              <w:rPr>
                <w:rFonts w:ascii="Calibri" w:hAnsi="Calibri"/>
                <w:sz w:val="17"/>
              </w:rPr>
              <w:t>PART · SEMESTER 2</w:t>
            </w:r>
          </w:p>
        </w:tc>
        <w:tc>
          <w:tcPr>
            <w:tcW w:type="dxa" w:w="5458"/>
            <w:tcMar>
              <w:top w:w="60" w:type="dxa"/>
              <w:start w:w="90" w:type="dxa"/>
              <w:bottom w:w="60" w:type="dxa"/>
              <w:end w:w="90" w:type="dxa"/>
            </w:tcMar>
            <w:shd w:val="clear" w:color="auto" w:fill="F2F5FB"/>
          </w:tcPr>
          <w:p>
            <w:pPr>
              <w:spacing w:after="0" w:line="252" w:lineRule="auto"/>
            </w:pPr>
            <w:r>
              <w:rPr>
                <w:rFonts w:ascii="Calibri" w:hAnsi="Calibri"/>
                <w:sz w:val="17"/>
              </w:rPr>
              <w:t>Conceptually only, in the generative AI block. Students will use transformers; they will not implement one.</w:t>
            </w:r>
          </w:p>
        </w:tc>
      </w:tr>
      <w:tr>
        <w:tc>
          <w:tcPr>
            <w:tcW w:type="dxa" w:w="2924"/>
            <w:tcMar>
              <w:top w:w="60" w:type="dxa"/>
              <w:start w:w="90" w:type="dxa"/>
              <w:bottom w:w="60" w:type="dxa"/>
              <w:end w:w="90" w:type="dxa"/>
            </w:tcMar>
          </w:tcPr>
          <w:p>
            <w:pPr>
              <w:spacing w:after="0" w:line="252" w:lineRule="auto"/>
            </w:pPr>
            <w:r>
              <w:rPr>
                <w:rFonts w:ascii="Calibri" w:hAnsi="Calibri"/>
                <w:b/>
                <w:sz w:val="17"/>
              </w:rPr>
              <w:t>Autoencoders · generative adversarial networks</w:t>
            </w:r>
          </w:p>
        </w:tc>
        <w:tc>
          <w:tcPr>
            <w:tcW w:type="dxa" w:w="1364"/>
            <w:tcMar>
              <w:top w:w="60" w:type="dxa"/>
              <w:start w:w="90" w:type="dxa"/>
              <w:bottom w:w="60" w:type="dxa"/>
              <w:end w:w="90" w:type="dxa"/>
            </w:tcMar>
          </w:tcPr>
          <w:p>
            <w:pPr>
              <w:spacing w:after="0" w:line="252" w:lineRule="auto"/>
            </w:pPr>
            <w:r>
              <w:rPr>
                <w:rFonts w:ascii="Calibri" w:hAnsi="Calibri"/>
                <w:sz w:val="17"/>
              </w:rPr>
              <w:t>NOT COVERED</w:t>
            </w:r>
          </w:p>
        </w:tc>
        <w:tc>
          <w:tcPr>
            <w:tcW w:type="dxa" w:w="5458"/>
            <w:tcMar>
              <w:top w:w="60" w:type="dxa"/>
              <w:start w:w="90" w:type="dxa"/>
              <w:bottom w:w="60" w:type="dxa"/>
              <w:end w:w="90" w:type="dxa"/>
            </w:tcMar>
          </w:tcPr>
          <w:p>
            <w:pPr>
              <w:spacing w:after="0" w:line="252" w:lineRule="auto"/>
            </w:pPr>
            <w:r>
              <w:rPr>
                <w:rFonts w:ascii="Calibri" w:hAnsi="Calibri"/>
                <w:sz w:val="17"/>
              </w:rPr>
              <w:t>Neither is reachable in the time.</w:t>
            </w:r>
          </w:p>
        </w:tc>
      </w:tr>
      <w:tr>
        <w:tc>
          <w:tcPr>
            <w:tcW w:type="dxa" w:w="2924"/>
            <w:tcMar>
              <w:top w:w="60" w:type="dxa"/>
              <w:start w:w="90" w:type="dxa"/>
              <w:bottom w:w="60" w:type="dxa"/>
              <w:end w:w="90" w:type="dxa"/>
            </w:tcMar>
            <w:shd w:val="clear" w:color="auto" w:fill="F2F5FB"/>
          </w:tcPr>
          <w:p>
            <w:pPr>
              <w:spacing w:after="0" w:line="252" w:lineRule="auto"/>
            </w:pPr>
            <w:r>
              <w:rPr>
                <w:rFonts w:ascii="Calibri" w:hAnsi="Calibri"/>
                <w:b/>
                <w:sz w:val="17"/>
              </w:rPr>
              <w:t>Explainable AI</w:t>
            </w:r>
          </w:p>
        </w:tc>
        <w:tc>
          <w:tcPr>
            <w:tcW w:type="dxa" w:w="1364"/>
            <w:tcMar>
              <w:top w:w="60" w:type="dxa"/>
              <w:start w:w="90" w:type="dxa"/>
              <w:bottom w:w="60" w:type="dxa"/>
              <w:end w:w="90" w:type="dxa"/>
            </w:tcMar>
            <w:shd w:val="clear" w:color="auto" w:fill="F2F5FB"/>
          </w:tcPr>
          <w:p>
            <w:pPr>
              <w:spacing w:after="0" w:line="252" w:lineRule="auto"/>
            </w:pPr>
            <w:r>
              <w:rPr>
                <w:rFonts w:ascii="Calibri" w:hAnsi="Calibri"/>
                <w:sz w:val="17"/>
              </w:rPr>
              <w:t>SEMESTER 2</w:t>
            </w:r>
          </w:p>
        </w:tc>
        <w:tc>
          <w:tcPr>
            <w:tcW w:type="dxa" w:w="5458"/>
            <w:tcMar>
              <w:top w:w="60" w:type="dxa"/>
              <w:start w:w="90" w:type="dxa"/>
              <w:bottom w:w="60" w:type="dxa"/>
              <w:end w:w="90" w:type="dxa"/>
            </w:tcMar>
            <w:shd w:val="clear" w:color="auto" w:fill="F2F5FB"/>
          </w:tcPr>
          <w:p>
            <w:pPr>
              <w:spacing w:after="0" w:line="252" w:lineRule="auto"/>
            </w:pPr>
            <w:r>
              <w:rPr>
                <w:rFonts w:ascii="Calibri" w:hAnsi="Calibri"/>
                <w:sz w:val="17"/>
              </w:rPr>
              <w:t>Semester 2, and treated as a professional requirement rather than a curiosity — a model that cannot be explained often cannot be used, whatever its accuracy.</w:t>
            </w:r>
          </w:p>
        </w:tc>
      </w:tr>
      <w:tr>
        <w:tc>
          <w:tcPr>
            <w:tcW w:type="dxa" w:w="2924"/>
            <w:tcMar>
              <w:top w:w="60" w:type="dxa"/>
              <w:start w:w="90" w:type="dxa"/>
              <w:bottom w:w="60" w:type="dxa"/>
              <w:end w:w="90" w:type="dxa"/>
            </w:tcMar>
          </w:tcPr>
          <w:p>
            <w:pPr>
              <w:spacing w:after="0" w:line="252" w:lineRule="auto"/>
            </w:pPr>
            <w:r>
              <w:rPr>
                <w:rFonts w:ascii="Calibri" w:hAnsi="Calibri"/>
                <w:b/>
                <w:sz w:val="17"/>
              </w:rPr>
              <w:t>NLP — tokenisation, stemming, lemmatisation, embeddings, attention models</w:t>
            </w:r>
          </w:p>
        </w:tc>
        <w:tc>
          <w:tcPr>
            <w:tcW w:type="dxa" w:w="1364"/>
            <w:tcMar>
              <w:top w:w="60" w:type="dxa"/>
              <w:start w:w="90" w:type="dxa"/>
              <w:bottom w:w="60" w:type="dxa"/>
              <w:end w:w="90" w:type="dxa"/>
            </w:tcMar>
          </w:tcPr>
          <w:p>
            <w:pPr>
              <w:spacing w:after="0" w:line="252" w:lineRule="auto"/>
            </w:pPr>
            <w:r>
              <w:rPr>
                <w:rFonts w:ascii="Calibri" w:hAnsi="Calibri"/>
                <w:sz w:val="17"/>
              </w:rPr>
              <w:t>PART · SEMESTER 2</w:t>
            </w:r>
          </w:p>
        </w:tc>
        <w:tc>
          <w:tcPr>
            <w:tcW w:type="dxa" w:w="5458"/>
            <w:tcMar>
              <w:top w:w="60" w:type="dxa"/>
              <w:start w:w="90" w:type="dxa"/>
              <w:bottom w:w="60" w:type="dxa"/>
              <w:end w:w="90" w:type="dxa"/>
            </w:tcMar>
          </w:tcPr>
          <w:p>
            <w:pPr>
              <w:spacing w:after="0" w:line="252" w:lineRule="auto"/>
            </w:pPr>
            <w:r>
              <w:rPr>
                <w:rFonts w:ascii="Calibri" w:hAnsi="Calibri"/>
                <w:sz w:val="17"/>
              </w:rPr>
              <w:t>Tokenisation and embeddings conceptually, in service of retrieval over engineering documentation. Stemming and lemmatisation are not covered.</w:t>
            </w:r>
          </w:p>
        </w:tc>
      </w:tr>
      <w:tr>
        <w:tc>
          <w:tcPr>
            <w:tcW w:type="dxa" w:w="2924"/>
            <w:tcMar>
              <w:top w:w="60" w:type="dxa"/>
              <w:start w:w="90" w:type="dxa"/>
              <w:bottom w:w="60" w:type="dxa"/>
              <w:end w:w="90" w:type="dxa"/>
            </w:tcMar>
            <w:shd w:val="clear" w:color="auto" w:fill="F2F5FB"/>
          </w:tcPr>
          <w:p>
            <w:pPr>
              <w:spacing w:after="0" w:line="252" w:lineRule="auto"/>
            </w:pPr>
            <w:r>
              <w:rPr>
                <w:rFonts w:ascii="Calibri" w:hAnsi="Calibri"/>
                <w:b/>
                <w:sz w:val="17"/>
              </w:rPr>
              <w:t>MLOps</w:t>
            </w:r>
          </w:p>
        </w:tc>
        <w:tc>
          <w:tcPr>
            <w:tcW w:type="dxa" w:w="1364"/>
            <w:tcMar>
              <w:top w:w="60" w:type="dxa"/>
              <w:start w:w="90" w:type="dxa"/>
              <w:bottom w:w="60" w:type="dxa"/>
              <w:end w:w="90" w:type="dxa"/>
            </w:tcMar>
            <w:shd w:val="clear" w:color="auto" w:fill="F2F5FB"/>
          </w:tcPr>
          <w:p>
            <w:pPr>
              <w:spacing w:after="0" w:line="252" w:lineRule="auto"/>
            </w:pPr>
            <w:r>
              <w:rPr>
                <w:rFonts w:ascii="Calibri" w:hAnsi="Calibri"/>
                <w:sz w:val="17"/>
              </w:rPr>
              <w:t>PART · SEMESTER 2</w:t>
            </w:r>
          </w:p>
        </w:tc>
        <w:tc>
          <w:tcPr>
            <w:tcW w:type="dxa" w:w="5458"/>
            <w:tcMar>
              <w:top w:w="60" w:type="dxa"/>
              <w:start w:w="90" w:type="dxa"/>
              <w:bottom w:w="60" w:type="dxa"/>
              <w:end w:w="90" w:type="dxa"/>
            </w:tcMar>
            <w:shd w:val="clear" w:color="auto" w:fill="F2F5FB"/>
          </w:tcPr>
          <w:p>
            <w:pPr>
              <w:spacing w:after="0" w:line="252" w:lineRule="auto"/>
            </w:pPr>
            <w:r>
              <w:rPr>
                <w:rFonts w:ascii="Calibri" w:hAnsi="Calibri"/>
                <w:sz w:val="17"/>
              </w:rPr>
              <w:t>Reproducibility, environment capture and a simple deployed interface. Not CI/CD, monitoring, registries or serving infrastructure — roadmap.sh has a separate MLOps roadmap and that is the honest answer.</w:t>
            </w:r>
          </w:p>
        </w:tc>
      </w:tr>
    </w:tbl>
    <w:p>
      <w:pPr>
        <w:pStyle w:val="Heading1"/>
      </w:pPr>
      <w:r>
        <w:t>4. The four gaps I would defend, and the two I would not</w:t>
      </w:r>
    </w:p>
    <w:p>
      <w:pPr>
        <w:spacing w:after="160" w:before="0" w:line="276" w:lineRule="auto"/>
      </w:pPr>
      <w:r>
        <w:rPr>
          <w:rFonts w:ascii="Calibri" w:hAnsi="Calibri"/>
          <w:b w:val="0"/>
          <w:i w:val="0"/>
          <w:sz w:val="21"/>
        </w:rPr>
        <w:t>Every course omits things. The distinction worth drawing is between an omission that is a considered trade and one that is simply a shortfall.</w:t>
      </w:r>
    </w:p>
    <w:p>
      <w:pPr>
        <w:pStyle w:val="Heading3"/>
      </w:pPr>
      <w:r>
        <w:t>Defensible</w:t>
      </w:r>
    </w:p>
    <w:p>
      <w:pPr>
        <w:spacing w:after="160" w:before="0" w:line="276" w:lineRule="auto"/>
      </w:pPr>
      <w:r>
        <w:rPr>
          <w:rFonts w:ascii="Calibri" w:hAnsi="Calibri"/>
          <w:b w:val="0"/>
          <w:i w:val="0"/>
          <w:sz w:val="21"/>
        </w:rPr>
        <w:t>Reinforcement learning is absent because it needs a simulator, a different mental model and a term of its own. Object-oriented programming is absent because beginners do not need to define classes to do data work. TensorFlow and Keras are absent because teaching two frameworks halves the depth in both. Generative adversarial networks and autoencoders are absent because they would displace something the students will actually use.</w:t>
      </w:r>
    </w:p>
    <w:p>
      <w:pPr>
        <w:pStyle w:val="Heading3"/>
      </w:pPr>
      <w:r>
        <w:t>Harder to defend, and worth revisiting</w:t>
      </w:r>
    </w:p>
    <w:p>
      <w:pPr>
        <w:spacing w:after="160" w:before="0" w:line="276" w:lineRule="auto"/>
      </w:pPr>
      <w:r>
        <w:rPr>
          <w:rFonts w:ascii="Calibri" w:hAnsi="Calibri"/>
          <w:b w:val="0"/>
          <w:i w:val="0"/>
          <w:sz w:val="21"/>
        </w:rPr>
        <w:t>The first is data ingestion. The roadmap lists databases, APIs and IoT as data sources; we teach CSV files from a course share. Real engineering data lives in historians, SCADA systems and databases, and a graduate who can only read a CSV will be stuck on their first day. A single session on SQL and one API call would close most of this, and Semester 2 is the place for it.</w:t>
      </w:r>
    </w:p>
    <w:p>
      <w:pPr>
        <w:spacing w:after="160" w:before="0" w:line="276" w:lineRule="auto"/>
      </w:pPr>
      <w:r>
        <w:rPr>
          <w:rFonts w:ascii="Calibri" w:hAnsi="Calibri"/>
          <w:b w:val="0"/>
          <w:i w:val="0"/>
          <w:sz w:val="21"/>
        </w:rPr>
        <w:t>The second is regularisation, and K-nearest neighbours and support vector machines alongside it. Semester 1 teaches linear regression, logistic regression, trees and forests, which is enough to work with — but Ridge and Lasso are the natural companions to the overfitting session in Week 10, and leaving them out means the students meet the problem without one of its standard answers.</w:t>
      </w:r>
    </w:p>
    <w:p>
      <w:pPr>
        <w:pStyle w:val="Heading1"/>
      </w:pPr>
      <w:r>
        <w:t>5. How this is used with students</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2144"/>
        <w:gridCol w:w="7601"/>
      </w:tblGrid>
      <w:tr>
        <w:trPr>
          <w:tblHeader w:val="true"/>
        </w:trPr>
        <w:tc>
          <w:tcPr>
            <w:tcW w:type="dxa" w:w="2144"/>
            <w:shd w:val="clear" w:color="auto" w:fill="1F3864"/>
            <w:tcMar>
              <w:top w:w="60" w:type="dxa"/>
              <w:start w:w="90" w:type="dxa"/>
              <w:bottom w:w="60" w:type="dxa"/>
              <w:end w:w="90" w:type="dxa"/>
            </w:tcMar>
          </w:tcPr>
          <w:p>
            <w:pPr>
              <w:spacing w:after="0" w:line="240" w:lineRule="auto"/>
            </w:pPr>
            <w:r>
              <w:rPr>
                <w:rFonts w:ascii="Calibri" w:hAnsi="Calibri"/>
                <w:b/>
                <w:color w:val="FFFFFF"/>
                <w:sz w:val="17"/>
              </w:rPr>
              <w:t>When</w:t>
            </w:r>
          </w:p>
        </w:tc>
        <w:tc>
          <w:tcPr>
            <w:tcW w:type="dxa" w:w="7602"/>
            <w:shd w:val="clear" w:color="auto" w:fill="1F3864"/>
            <w:tcMar>
              <w:top w:w="60" w:type="dxa"/>
              <w:start w:w="90" w:type="dxa"/>
              <w:bottom w:w="60" w:type="dxa"/>
              <w:end w:w="90" w:type="dxa"/>
            </w:tcMar>
          </w:tcPr>
          <w:p>
            <w:pPr>
              <w:spacing w:after="0" w:line="240" w:lineRule="auto"/>
            </w:pPr>
            <w:r>
              <w:rPr>
                <w:rFonts w:ascii="Calibri" w:hAnsi="Calibri"/>
                <w:b/>
                <w:color w:val="FFFFFF"/>
                <w:sz w:val="17"/>
              </w:rPr>
              <w:t>How the roadmap is used</w:t>
            </w:r>
          </w:p>
        </w:tc>
      </w:tr>
      <w:tr>
        <w:tc>
          <w:tcPr>
            <w:tcW w:type="dxa" w:w="2144"/>
            <w:tcMar>
              <w:top w:w="60" w:type="dxa"/>
              <w:start w:w="90" w:type="dxa"/>
              <w:bottom w:w="60" w:type="dxa"/>
              <w:end w:w="90" w:type="dxa"/>
            </w:tcMar>
          </w:tcPr>
          <w:p>
            <w:pPr>
              <w:spacing w:after="0" w:line="252" w:lineRule="auto"/>
            </w:pPr>
            <w:r>
              <w:rPr>
                <w:rFonts w:ascii="Calibri" w:hAnsi="Calibri"/>
                <w:b/>
                <w:sz w:val="17"/>
              </w:rPr>
              <w:t>Week 1, segment 2</w:t>
            </w:r>
          </w:p>
        </w:tc>
        <w:tc>
          <w:tcPr>
            <w:tcW w:type="dxa" w:w="7602"/>
            <w:tcMar>
              <w:top w:w="60" w:type="dxa"/>
              <w:start w:w="90" w:type="dxa"/>
              <w:bottom w:w="60" w:type="dxa"/>
              <w:end w:w="90" w:type="dxa"/>
            </w:tcMar>
          </w:tcPr>
          <w:p>
            <w:pPr>
              <w:spacing w:after="0" w:line="252" w:lineRule="auto"/>
            </w:pPr>
            <w:r>
              <w:rPr>
                <w:rFonts w:ascii="Calibri" w:hAnsi="Calibri"/>
                <w:sz w:val="17"/>
              </w:rPr>
              <w:t>Fifteen minutes walking the whole field, start to finish, so that every later topic has somewhere to sit. Students are pointed at roadmap.sh/machine-learning to explore the interactive version themselves.</w:t>
            </w:r>
          </w:p>
        </w:tc>
      </w:tr>
      <w:tr>
        <w:tc>
          <w:tcPr>
            <w:tcW w:type="dxa" w:w="2144"/>
            <w:tcMar>
              <w:top w:w="60" w:type="dxa"/>
              <w:start w:w="90" w:type="dxa"/>
              <w:bottom w:w="60" w:type="dxa"/>
              <w:end w:w="90" w:type="dxa"/>
            </w:tcMar>
            <w:shd w:val="clear" w:color="auto" w:fill="F2F5FB"/>
          </w:tcPr>
          <w:p>
            <w:pPr>
              <w:spacing w:after="0" w:line="252" w:lineRule="auto"/>
            </w:pPr>
            <w:r>
              <w:rPr>
                <w:rFonts w:ascii="Calibri" w:hAnsi="Calibri"/>
                <w:b/>
                <w:sz w:val="17"/>
              </w:rPr>
              <w:t>Week 1, same segment</w:t>
            </w:r>
          </w:p>
        </w:tc>
        <w:tc>
          <w:tcPr>
            <w:tcW w:type="dxa" w:w="7602"/>
            <w:tcMar>
              <w:top w:w="60" w:type="dxa"/>
              <w:start w:w="90" w:type="dxa"/>
              <w:bottom w:w="60" w:type="dxa"/>
              <w:end w:w="90" w:type="dxa"/>
            </w:tcMar>
            <w:shd w:val="clear" w:color="auto" w:fill="F2F5FB"/>
          </w:tcPr>
          <w:p>
            <w:pPr>
              <w:spacing w:after="0" w:line="252" w:lineRule="auto"/>
            </w:pPr>
            <w:r>
              <w:rPr>
                <w:rFonts w:ascii="Calibri" w:hAnsi="Calibri"/>
                <w:sz w:val="17"/>
              </w:rPr>
              <w:t>The stage-2 observation: they already hold the mathematics. This is the most motivating thing they hear all week and it is true.</w:t>
            </w:r>
          </w:p>
        </w:tc>
      </w:tr>
      <w:tr>
        <w:tc>
          <w:tcPr>
            <w:tcW w:type="dxa" w:w="2144"/>
            <w:tcMar>
              <w:top w:w="60" w:type="dxa"/>
              <w:start w:w="90" w:type="dxa"/>
              <w:bottom w:w="60" w:type="dxa"/>
              <w:end w:w="90" w:type="dxa"/>
            </w:tcMar>
          </w:tcPr>
          <w:p>
            <w:pPr>
              <w:spacing w:after="0" w:line="252" w:lineRule="auto"/>
            </w:pPr>
            <w:r>
              <w:rPr>
                <w:rFonts w:ascii="Calibri" w:hAnsi="Calibri"/>
                <w:b/>
                <w:sz w:val="17"/>
              </w:rPr>
              <w:t>Week 1, coverage figure</w:t>
            </w:r>
          </w:p>
        </w:tc>
        <w:tc>
          <w:tcPr>
            <w:tcW w:type="dxa" w:w="7602"/>
            <w:tcMar>
              <w:top w:w="60" w:type="dxa"/>
              <w:start w:w="90" w:type="dxa"/>
              <w:bottom w:w="60" w:type="dxa"/>
              <w:end w:w="90" w:type="dxa"/>
            </w:tcMar>
          </w:tcPr>
          <w:p>
            <w:pPr>
              <w:spacing w:after="0" w:line="252" w:lineRule="auto"/>
            </w:pPr>
            <w:r>
              <w:rPr>
                <w:rFonts w:ascii="Calibri" w:hAnsi="Calibri"/>
                <w:sz w:val="17"/>
              </w:rPr>
              <w:t>The gaps are shown deliberately. Being honest about what is not taught buys credibility for everything that is.</w:t>
            </w:r>
          </w:p>
        </w:tc>
      </w:tr>
      <w:tr>
        <w:tc>
          <w:tcPr>
            <w:tcW w:type="dxa" w:w="2144"/>
            <w:tcMar>
              <w:top w:w="60" w:type="dxa"/>
              <w:start w:w="90" w:type="dxa"/>
              <w:bottom w:w="60" w:type="dxa"/>
              <w:end w:w="90" w:type="dxa"/>
            </w:tcMar>
            <w:shd w:val="clear" w:color="auto" w:fill="F2F5FB"/>
          </w:tcPr>
          <w:p>
            <w:pPr>
              <w:spacing w:after="0" w:line="252" w:lineRule="auto"/>
            </w:pPr>
            <w:r>
              <w:rPr>
                <w:rFonts w:ascii="Calibri" w:hAnsi="Calibri"/>
                <w:b/>
                <w:sz w:val="17"/>
              </w:rPr>
              <w:t>Start of each block</w:t>
            </w:r>
          </w:p>
        </w:tc>
        <w:tc>
          <w:tcPr>
            <w:tcW w:type="dxa" w:w="7602"/>
            <w:tcMar>
              <w:top w:w="60" w:type="dxa"/>
              <w:start w:w="90" w:type="dxa"/>
              <w:bottom w:w="60" w:type="dxa"/>
              <w:end w:w="90" w:type="dxa"/>
            </w:tcMar>
            <w:shd w:val="clear" w:color="auto" w:fill="F2F5FB"/>
          </w:tcPr>
          <w:p>
            <w:pPr>
              <w:spacing w:after="0" w:line="252" w:lineRule="auto"/>
            </w:pPr>
            <w:r>
              <w:rPr>
                <w:rFonts w:ascii="Calibri" w:hAnsi="Calibri"/>
                <w:sz w:val="17"/>
              </w:rPr>
              <w:t>One slide re-showing the roadmap with the current stage highlighted, so progress is visible rather than assumed.</w:t>
            </w:r>
          </w:p>
        </w:tc>
      </w:tr>
      <w:tr>
        <w:tc>
          <w:tcPr>
            <w:tcW w:type="dxa" w:w="2144"/>
            <w:tcMar>
              <w:top w:w="60" w:type="dxa"/>
              <w:start w:w="90" w:type="dxa"/>
              <w:bottom w:w="60" w:type="dxa"/>
              <w:end w:w="90" w:type="dxa"/>
            </w:tcMar>
          </w:tcPr>
          <w:p>
            <w:pPr>
              <w:spacing w:after="0" w:line="252" w:lineRule="auto"/>
            </w:pPr>
            <w:r>
              <w:rPr>
                <w:rFonts w:ascii="Calibri" w:hAnsi="Calibri"/>
                <w:b/>
                <w:sz w:val="17"/>
              </w:rPr>
              <w:t>Week 15</w:t>
            </w:r>
          </w:p>
        </w:tc>
        <w:tc>
          <w:tcPr>
            <w:tcW w:type="dxa" w:w="7602"/>
            <w:tcMar>
              <w:top w:w="60" w:type="dxa"/>
              <w:start w:w="90" w:type="dxa"/>
              <w:bottom w:w="60" w:type="dxa"/>
              <w:end w:w="90" w:type="dxa"/>
            </w:tcMar>
          </w:tcPr>
          <w:p>
            <w:pPr>
              <w:spacing w:after="0" w:line="252" w:lineRule="auto"/>
            </w:pPr>
            <w:r>
              <w:rPr>
                <w:rFonts w:ascii="Calibri" w:hAnsi="Calibri"/>
                <w:sz w:val="17"/>
              </w:rPr>
              <w:t>The roadmap returns beside the capability ladder. Students see how far along a public professional map they have travelled in fifteen weeks, and where to go next.</w:t>
            </w:r>
          </w:p>
        </w:tc>
      </w:tr>
      <w:tr>
        <w:tc>
          <w:tcPr>
            <w:tcW w:type="dxa" w:w="2144"/>
            <w:tcMar>
              <w:top w:w="60" w:type="dxa"/>
              <w:start w:w="90" w:type="dxa"/>
              <w:bottom w:w="60" w:type="dxa"/>
              <w:end w:w="90" w:type="dxa"/>
            </w:tcMar>
            <w:shd w:val="clear" w:color="auto" w:fill="F2F5FB"/>
          </w:tcPr>
          <w:p>
            <w:pPr>
              <w:spacing w:after="0" w:line="252" w:lineRule="auto"/>
            </w:pPr>
            <w:r>
              <w:rPr>
                <w:rFonts w:ascii="Calibri" w:hAnsi="Calibri"/>
                <w:b/>
                <w:sz w:val="17"/>
              </w:rPr>
              <w:t>Semester 2, final session</w:t>
            </w:r>
          </w:p>
        </w:tc>
        <w:tc>
          <w:tcPr>
            <w:tcW w:type="dxa" w:w="7602"/>
            <w:tcMar>
              <w:top w:w="60" w:type="dxa"/>
              <w:start w:w="90" w:type="dxa"/>
              <w:bottom w:w="60" w:type="dxa"/>
              <w:end w:w="90" w:type="dxa"/>
            </w:tcMar>
            <w:shd w:val="clear" w:color="auto" w:fill="F2F5FB"/>
          </w:tcPr>
          <w:p>
            <w:pPr>
              <w:spacing w:after="0" w:line="252" w:lineRule="auto"/>
            </w:pPr>
            <w:r>
              <w:rPr>
                <w:rFonts w:ascii="Calibri" w:hAnsi="Calibri"/>
                <w:sz w:val="17"/>
              </w:rPr>
              <w:t>The related roadmaps — AI engineer, data scientist, MLOps, AI agents — are issued as the route onwards for anyone who wants to continue.</w:t>
            </w:r>
          </w:p>
        </w:tc>
      </w:tr>
    </w:tbl>
    <w:p>
      <w:pPr>
        <w:spacing w:after="240"/>
      </w:pPr>
    </w:p>
    <w:tbl>
      <w:tblPr>
        <w:tblW w:type="auto" w:w="0"/>
        <w:jc w:val="center"/>
        <w:tblLayout w:type="fixed"/>
        <w:tblLook w:firstColumn="1" w:firstRow="1" w:lastColumn="0" w:lastRow="0" w:noHBand="0" w:noVBand="1" w:val="04A0"/>
        <w:tblBorders>
          <w:top w:val="single" w:sz="6" w:space="0" w:color="C55A11"/>
          <w:bottom w:val="single" w:sz="6" w:space="0" w:color="C55A11"/>
          <w:left w:val="single" w:sz="24" w:space="0" w:color="C55A11"/>
          <w:right w:val="single" w:sz="6" w:space="0" w:color="C55A11"/>
        </w:tblBorders>
      </w:tblPr>
      <w:tblGrid>
        <w:gridCol w:w="9746"/>
      </w:tblGrid>
      <w:tr>
        <w:tc>
          <w:tcPr>
            <w:tcW w:type="dxa" w:w="9746"/>
            <w:tcMar>
              <w:top w:w="110" w:type="dxa"/>
              <w:start w:w="170" w:type="dxa"/>
              <w:bottom w:w="110" w:type="dxa"/>
              <w:end w:w="140" w:type="dxa"/>
            </w:tcMar>
            <w:shd w:val="clear" w:color="auto" w:fill="FFF2CC"/>
          </w:tcPr>
          <w:p>
            <w:pPr>
              <w:spacing w:after="60"/>
            </w:pPr>
            <w:r>
              <w:rPr>
                <w:rFonts w:ascii="Calibri" w:hAnsi="Calibri"/>
                <w:b/>
                <w:color w:val="C55A11"/>
                <w:sz w:val="19"/>
              </w:rPr>
              <w:t>One caution on using any roadmap with beginners</w:t>
            </w:r>
          </w:p>
          <w:p>
            <w:pPr>
              <w:spacing w:after="0" w:line="269" w:lineRule="auto"/>
            </w:pPr>
            <w:r>
              <w:rPr>
                <w:rFonts w:ascii="Calibri" w:hAnsi="Calibri"/>
                <w:sz w:val="20"/>
              </w:rPr>
              <w:t>A roadmap shows the territory; it does not teach it, and a student who mistakes reading the map for walking it will feel productive and learn nothing. Show it, let them see the shape of the field, then close it and go back to the twelve rows of data on the desk. The roadmap is orientation at the start of a session, never the substance of one.</w:t>
            </w:r>
          </w:p>
        </w:tc>
      </w:tr>
    </w:tbl>
    <w:p>
      <w:pPr>
        <w:spacing w:after="160"/>
      </w:pPr>
    </w:p>
    <w:p>
      <w:pPr>
        <w:spacing w:after="200"/>
      </w:pPr>
    </w:p>
    <w:p>
      <w:pPr>
        <w:spacing w:after="160" w:before="0" w:line="276" w:lineRule="auto"/>
        <w:jc w:val="center"/>
      </w:pPr>
      <w:r>
        <w:rPr>
          <w:rFonts w:ascii="Calibri" w:hAnsi="Calibri"/>
          <w:b w:val="0"/>
          <w:i/>
          <w:color w:val="595959"/>
          <w:sz w:val="18"/>
        </w:rPr>
        <w:t>Benchmark version 1.0 · September 2026 · roadmap.sh content retrieved September 2026 and worth re-checking each year, as the roadmap is actively maintained.</w:t>
      </w:r>
    </w:p>
    <w:sectPr w:rsidR="00FC693F" w:rsidRPr="0006063C" w:rsidSect="00034616">
      <w:headerReference w:type="default" r:id="rId9"/>
      <w:footerReference w:type="default" r:id="rId10"/>
      <w:pgSz w:w="12240" w:h="15840"/>
      <w:pgMar w:top="1247" w:right="1247" w:bottom="1247"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959"/>
        <w:sz w:val="16"/>
      </w:rPr>
      <w:t xml:space="preserve">Page </w:t>
    </w:r>
    <w:r>
      <w:rPr>
        <w:rFonts w:ascii="Calibri" w:hAnsi="Calibri"/>
        <w:color w:val="595959"/>
        <w:sz w:val="16"/>
      </w:rPr>
      <w:fldChar w:fldCharType="begin"/>
      <w:instrText xml:space="preserve">PAGE</w:instrText>
      <w:fldChar w:fldCharType="end"/>
    </w:r>
    <w:r>
      <w:rPr>
        <w:rFonts w:ascii="Calibri" w:hAnsi="Calibri"/>
        <w:color w:val="595959"/>
        <w:sz w:val="16"/>
      </w:rPr>
      <w:t xml:space="preserve"> of </w:t>
    </w:r>
    <w:r>
      <w:rPr>
        <w:rFonts w:ascii="Calibri" w:hAnsi="Calibri"/>
        <w:color w:val="595959"/>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8" w:color="B4C6E7"/>
      </w:pBdr>
    </w:pPr>
    <w:r/>
    <w:r>
      <w:rPr>
        <w:rFonts w:ascii="Calibri" w:hAnsi="Calibri"/>
        <w:color w:val="595959"/>
        <w:sz w:val="16"/>
      </w:rPr>
      <w:t>IUEA Faculty of Engineering · CML3111 / CML3112 / CML3113 · roadmap.sh Benchmark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80"/>
      <w:outlineLvl w:val="0"/>
    </w:pPr>
    <w:rPr>
      <w:rFonts w:asciiTheme="majorHAnsi" w:eastAsiaTheme="majorEastAsia" w:hAnsiTheme="majorHAnsi" w:cstheme="majorBidi" w:ascii="Calibri" w:hAnsi="Calibri"/>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