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Design &amp; Infrastructure</w:t>
      </w:r>
    </w:p>
    <w:p>
      <w:pPr>
        <w:spacing w:after="160" w:before="160" w:line="276" w:lineRule="auto"/>
        <w:jc w:val="center"/>
        <w:pBdr>
          <w:top w:val="single" w:sz="10" w:space="8" w:color="1F3864"/>
          <w:bottom w:val="single" w:sz="10" w:space="8" w:color="1F3864"/>
        </w:pBdr>
      </w:pPr>
      <w:r>
        <w:rPr>
          <w:rFonts w:ascii="Calibri" w:hAnsi="Calibri"/>
          <w:b/>
          <w:i w:val="0"/>
          <w:sz w:val="24"/>
        </w:rPr>
        <w:t>CML3112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A — Civil Engineering + Architecture</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Civil Engineering and Architecture</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CML3112</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TUESDAY 11:00-14:00, Room 106</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~100 students (est. 22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Every structure you will ever design generates data — mix designs and cylinder tests, survey and inspection records, energy meters, sensor arrays on bridges, cost histories from projects that came before yours. Most of that data is thrown away or filed and never read. This course teaches you to use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240" w:before="160" w:line="276" w:lineRule="auto"/>
        <w:ind w:left="510" w:right="510"/>
        <w:pBdr>
          <w:left w:val="single" w:sz="18" w:space="8" w:color="2E5C8A"/>
        </w:pBdr>
      </w:pPr>
      <w:r>
        <w:rPr>
          <w:rFonts w:ascii="Calibri" w:hAnsi="Calibri"/>
          <w:b w:val="0"/>
          <w:i/>
          <w:color w:val="2E5C8A"/>
          <w:sz w:val="21"/>
        </w:rPr>
        <w:t>“Can we predict a building's heating and cooling load from its geometry, orientation and glazing before it is built?”</w:t>
      </w:r>
    </w:p>
    <w:p>
      <w:pPr>
        <w:spacing w:after="240" w:before="160" w:line="276" w:lineRule="auto"/>
        <w:ind w:left="510" w:right="510"/>
        <w:pBdr>
          <w:left w:val="single" w:sz="18" w:space="8" w:color="2E5C8A"/>
        </w:pBdr>
      </w:pPr>
      <w:r>
        <w:rPr>
          <w:rFonts w:ascii="Calibri" w:hAnsi="Calibri"/>
          <w:b w:val="0"/>
          <w:i/>
          <w:color w:val="2E5C8A"/>
          <w:sz w:val="21"/>
        </w:rPr>
        <w:t>“Can we predict which sections of a road will deteriorate first, and inspect those first?”</w:t>
      </w:r>
    </w:p>
    <w:p>
      <w:pPr>
        <w:spacing w:after="240" w:before="160" w:line="276" w:lineRule="auto"/>
        <w:ind w:left="510" w:right="510"/>
        <w:pBdr>
          <w:left w:val="single" w:sz="18" w:space="8" w:color="2E5C8A"/>
        </w:pBdr>
      </w:pPr>
      <w:r>
        <w:rPr>
          <w:rFonts w:ascii="Calibri" w:hAnsi="Calibri"/>
          <w:b w:val="0"/>
          <w:i/>
          <w:color w:val="2E5C8A"/>
          <w:sz w:val="21"/>
        </w:rPr>
        <w:t>“Can we classify infrastructure defects from inspection records more consistently than three different inspectors do?”</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construction, structures, materials or building performance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engineering datasets such as mix designs, building performance records and inspection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infrastructure and building data, reporting error in engineering units such as megapascals or kilowatt-hours per square metre.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civil and architectural domain knowledge — the water-to-cement ratio, the window-to-wall ratio, degree-days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design or maintenance decision,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7</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Quiz 8</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9</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Quiz 10</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11 · integrative</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Quiz 12 · integrative</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Weekly quizzes</w:t>
            </w:r>
          </w:p>
        </w:tc>
        <w:tc>
          <w:tcPr>
            <w:tcW w:type="dxa" w:w="1541"/>
            <w:tcMar>
              <w:top w:w="60" w:type="dxa"/>
              <w:start w:w="90" w:type="dxa"/>
              <w:bottom w:w="60" w:type="dxa"/>
              <w:end w:w="90" w:type="dxa"/>
            </w:tcMar>
          </w:tcPr>
          <w:p>
            <w:pPr>
              <w:spacing w:after="0" w:line="252" w:lineRule="auto"/>
            </w:pPr>
            <w:r>
              <w:rPr>
                <w:rFonts w:ascii="Calibri" w:hAnsi="Calibri"/>
                <w:sz w:val="17"/>
              </w:rPr>
              <w:t>End of every teaching session: Weeks 1–6 and 8–13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reached by a QR code, in the last five minutes of the session. Auto-marked: you see your score and feedback immediately. Twelve quizzes, 1% each, and your best ten count. There are no resits; the two dropped scores cover a missed week.</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Weeks 1–12</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Best 8 of 11. Notebooks and one-pagers pushed to your repository. Auto-marked — you can check your own work against the visible tests before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written. An unfamiliar dataset. 40 of the 100 marks are auto-marked from a structured answers cell; the other 60 are marked by your lecturer.</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written. An unfamiliar dataset. 45 of the 100 marks are auto-marked; the other 55 are marked by your lecturer.</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Six-minute demonstration, two unseen questions on your own work, 500-word reflection.</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48-hour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individually answers two unseen questions about their own team's repository. This is how a team mark becomes an individual one. If you have not engaged with a part of your team's work, that will be visible, and the reverse is also true: a strong contributor is not dragged down by a weak teammate.</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not available, because the tests run offline with no network access. And in all circumstances, you are marked on what you can explain. If your submission contains work you cannot account for, your mark is reduced to the part you can account for.</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Three versions are in circulation in the room and the questions require you to read a code snippet rather than recall a fact, so it is harder than it looks. The real answer is that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room. Running the tests offline is also simply enforceable, which a rule against using an assistant on a networked machine is not.</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Concrete Compressive Strength (UCI Machine Learning Repository, dataset 165, CC BY 4.0) and Energy Efficiency (UCI dataset 242, CC BY 4.0) are the anchor datasets and recur through the semester. Additional construction, building performance and predictive maintenance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Building Energy Predictor — predict consumption from size, orientation, glazing, materials and occupancy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Concrete Strength Estimator with a stated confidence range</w:t>
            </w:r>
          </w:p>
        </w:tc>
      </w:tr>
      <w:tr>
        <w:tc>
          <w:tcPr>
            <w:tcW w:type="dxa" w:w="9632"/>
            <w:tcMar>
              <w:top w:w="60" w:type="dxa"/>
              <w:start w:w="90" w:type="dxa"/>
              <w:bottom w:w="60" w:type="dxa"/>
              <w:end w:w="90" w:type="dxa"/>
            </w:tcMar>
          </w:tcPr>
          <w:p>
            <w:pPr>
              <w:spacing w:after="0" w:line="252" w:lineRule="auto"/>
            </w:pPr>
            <w:r>
              <w:rPr>
                <w:rFonts w:ascii="Calibri" w:hAnsi="Calibri"/>
                <w:sz w:val="18"/>
              </w:rPr>
              <w:t>Pavement or road deterioration forecast</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Construction cost estimator from historical project data</w:t>
            </w:r>
          </w:p>
        </w:tc>
      </w:tr>
      <w:tr>
        <w:tc>
          <w:tcPr>
            <w:tcW w:type="dxa" w:w="9632"/>
            <w:tcMar>
              <w:top w:w="60" w:type="dxa"/>
              <w:start w:w="90" w:type="dxa"/>
              <w:bottom w:w="60" w:type="dxa"/>
              <w:end w:w="90" w:type="dxa"/>
            </w:tcMar>
          </w:tcPr>
          <w:p>
            <w:pPr>
              <w:spacing w:after="0" w:line="252" w:lineRule="auto"/>
            </w:pPr>
            <w:r>
              <w:rPr>
                <w:rFonts w:ascii="Calibri" w:hAnsi="Calibri"/>
                <w:sz w:val="18"/>
              </w:rPr>
              <w:t>Infrastructure defect classifier from inspection records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Design option screener — rank design variants on a predicted performance measure</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Design &amp; Infrastructure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