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p>
    <w:p>
      <w:pPr>
        <w:spacing w:after="280" w:before="0" w:line="276" w:lineRule="auto"/>
        <w:jc w:val="center"/>
      </w:pPr>
      <w:r>
        <w:rPr>
          <w:rFonts w:ascii="Calibri" w:hAnsi="Calibri"/>
          <w:b/>
          <w:i w:val="0"/>
          <w:color w:val="2E5C8A"/>
          <w:sz w:val="20"/>
        </w:rPr>
        <w:t>INTERNATIONAL UNIVERSITY OF EAST AFRICA · FACULTY OF ENGINEERING</w:t>
      </w:r>
    </w:p>
    <w:p>
      <w:pPr>
        <w:spacing w:after="80" w:before="0" w:line="276" w:lineRule="auto"/>
        <w:jc w:val="center"/>
      </w:pPr>
      <w:r>
        <w:rPr>
          <w:rFonts w:ascii="Calibri" w:hAnsi="Calibri"/>
          <w:b/>
          <w:i w:val="0"/>
          <w:color w:val="1F3864"/>
          <w:sz w:val="50"/>
        </w:rPr>
        <w:t>Week 1 Pre-Flight Checklist</w:t>
      </w:r>
    </w:p>
    <w:p>
      <w:pPr>
        <w:spacing w:after="320" w:before="0" w:line="276" w:lineRule="auto"/>
        <w:jc w:val="center"/>
      </w:pPr>
      <w:r>
        <w:rPr>
          <w:rFonts w:ascii="Calibri" w:hAnsi="Calibri"/>
          <w:b w:val="0"/>
          <w:i w:val="0"/>
          <w:color w:val="2E5C8A"/>
          <w:sz w:val="24"/>
        </w:rPr>
        <w:t>Semester 1, 2026/27 · print this and tick it</w:t>
      </w:r>
    </w:p>
    <w:tbl>
      <w:tblPr>
        <w:tblW w:type="auto" w:w="0"/>
        <w:jc w:val="center"/>
        <w:tblLayout w:type="fixed"/>
        <w:tblLook w:firstColumn="1" w:firstRow="1" w:lastColumn="0" w:lastRow="0" w:noHBand="0" w:noVBand="1" w:val="04A0"/>
        <w:tblBorders>
          <w:top w:val="single" w:sz="6" w:space="0" w:color="C00000"/>
          <w:bottom w:val="single" w:sz="6" w:space="0" w:color="C00000"/>
          <w:left w:val="single" w:sz="24" w:space="0" w:color="C00000"/>
          <w:right w:val="single" w:sz="6" w:space="0" w:color="C00000"/>
        </w:tblBorders>
      </w:tblPr>
      <w:tblGrid>
        <w:gridCol w:w="9972"/>
      </w:tblGrid>
      <w:tr>
        <w:tc>
          <w:tcPr>
            <w:tcW w:type="dxa" w:w="9972"/>
            <w:tcMar>
              <w:top w:w="110" w:type="dxa"/>
              <w:start w:w="170" w:type="dxa"/>
              <w:bottom w:w="110" w:type="dxa"/>
              <w:end w:w="140" w:type="dxa"/>
            </w:tcMar>
            <w:shd w:val="clear" w:color="auto" w:fill="FCE4E4"/>
          </w:tcPr>
          <w:p>
            <w:pPr>
              <w:spacing w:after="60"/>
            </w:pPr>
            <w:r>
              <w:rPr>
                <w:rFonts w:ascii="Calibri" w:hAnsi="Calibri"/>
                <w:b/>
                <w:color w:val="C00000"/>
                <w:sz w:val="19"/>
              </w:rPr>
              <w:t>The hardware is the part that has not been checked</w:t>
            </w:r>
          </w:p>
          <w:p>
            <w:pPr>
              <w:spacing w:after="0" w:line="269" w:lineRule="auto"/>
            </w:pPr>
            <w:r>
              <w:rPr>
                <w:rFonts w:ascii="Calibri" w:hAnsi="Calibri"/>
                <w:sz w:val="20"/>
              </w:rPr>
              <w:t>The teaching material for all fifteen weeks is written and checked. What is not checked is the hardware. Four things in this programme have never been executed against a real machine or a real room, because they could not be tested from a sandbox. Each takes about ten minutes and each one can stop a session in front of a hundred students. They are listed first, before anything else, because no amount of slide preparation compensates for a room that cannot get online.</w:t>
            </w:r>
          </w:p>
        </w:tc>
      </w:tr>
    </w:tbl>
    <w:p>
      <w:pPr>
        <w:spacing w:after="160"/>
      </w:pPr>
    </w:p>
    <w:p>
      <w:pPr>
        <w:pStyle w:val="Heading1"/>
      </w:pPr>
      <w:r>
        <w:t>1 · The four untested things</w:t>
      </w:r>
    </w:p>
    <w:p>
      <w:pPr>
        <w:spacing w:after="160" w:before="0" w:line="276" w:lineRule="auto"/>
      </w:pPr>
      <w:r>
        <w:rPr>
          <w:rFonts w:ascii="Calibri" w:hAnsi="Calibri"/>
          <w:b w:val="0"/>
          <w:i w:val="0"/>
          <w:sz w:val="21"/>
        </w:rPr>
        <w:t>Do these before Tuesday. Write the result in the right-hand column so the next person to read this knows whether it was checked or assumed.</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398"/>
        <w:gridCol w:w="1994"/>
        <w:gridCol w:w="3390"/>
        <w:gridCol w:w="3390"/>
        <w:gridCol w:w="797"/>
      </w:tblGrid>
      <w:tr>
        <w:trPr>
          <w:tblHeader w:val="true"/>
        </w:trPr>
        <w:tc>
          <w:tcPr>
            <w:tcW w:type="dxa" w:w="399"/>
            <w:shd w:val="clear" w:color="auto" w:fill="1F3864"/>
            <w:tcMar>
              <w:top w:w="60" w:type="dxa"/>
              <w:start w:w="90" w:type="dxa"/>
              <w:bottom w:w="60" w:type="dxa"/>
              <w:end w:w="90" w:type="dxa"/>
            </w:tcMar>
          </w:tcPr>
          <w:p>
            <w:pPr>
              <w:spacing w:after="0" w:line="240" w:lineRule="auto"/>
            </w:pPr>
            <w:r>
              <w:rPr>
                <w:rFonts w:ascii="Calibri" w:hAnsi="Calibri"/>
                <w:b/>
                <w:color w:val="FFFFFF"/>
                <w:sz w:val="17"/>
              </w:rPr>
              <w:t>#</w:t>
            </w:r>
          </w:p>
        </w:tc>
        <w:tc>
          <w:tcPr>
            <w:tcW w:type="dxa" w:w="1994"/>
            <w:shd w:val="clear" w:color="auto" w:fill="1F3864"/>
            <w:tcMar>
              <w:top w:w="60" w:type="dxa"/>
              <w:start w:w="90" w:type="dxa"/>
              <w:bottom w:w="60" w:type="dxa"/>
              <w:end w:w="90" w:type="dxa"/>
            </w:tcMar>
          </w:tcPr>
          <w:p>
            <w:pPr>
              <w:spacing w:after="0" w:line="240" w:lineRule="auto"/>
            </w:pPr>
            <w:r>
              <w:rPr>
                <w:rFonts w:ascii="Calibri" w:hAnsi="Calibri"/>
                <w:b/>
                <w:color w:val="FFFFFF"/>
                <w:sz w:val="17"/>
              </w:rPr>
              <w:t>What to test</w:t>
            </w:r>
          </w:p>
        </w:tc>
        <w:tc>
          <w:tcPr>
            <w:tcW w:type="dxa" w:w="3390"/>
            <w:shd w:val="clear" w:color="auto" w:fill="1F3864"/>
            <w:tcMar>
              <w:top w:w="60" w:type="dxa"/>
              <w:start w:w="90" w:type="dxa"/>
              <w:bottom w:w="60" w:type="dxa"/>
              <w:end w:w="90" w:type="dxa"/>
            </w:tcMar>
          </w:tcPr>
          <w:p>
            <w:pPr>
              <w:spacing w:after="0" w:line="240" w:lineRule="auto"/>
            </w:pPr>
            <w:r>
              <w:rPr>
                <w:rFonts w:ascii="Calibri" w:hAnsi="Calibri"/>
                <w:b/>
                <w:color w:val="FFFFFF"/>
                <w:sz w:val="17"/>
              </w:rPr>
              <w:t>How</w:t>
            </w:r>
          </w:p>
        </w:tc>
        <w:tc>
          <w:tcPr>
            <w:tcW w:type="dxa" w:w="3390"/>
            <w:shd w:val="clear" w:color="auto" w:fill="1F3864"/>
            <w:tcMar>
              <w:top w:w="60" w:type="dxa"/>
              <w:start w:w="90" w:type="dxa"/>
              <w:bottom w:w="60" w:type="dxa"/>
              <w:end w:w="90" w:type="dxa"/>
            </w:tcMar>
          </w:tcPr>
          <w:p>
            <w:pPr>
              <w:spacing w:after="0" w:line="240" w:lineRule="auto"/>
            </w:pPr>
            <w:r>
              <w:rPr>
                <w:rFonts w:ascii="Calibri" w:hAnsi="Calibri"/>
                <w:b/>
                <w:color w:val="FFFFFF"/>
                <w:sz w:val="17"/>
              </w:rPr>
              <w:t>Pass looks like</w:t>
            </w:r>
          </w:p>
        </w:tc>
        <w:tc>
          <w:tcPr>
            <w:tcW w:type="dxa" w:w="798"/>
            <w:shd w:val="clear" w:color="auto" w:fill="1F3864"/>
            <w:tcMar>
              <w:top w:w="60" w:type="dxa"/>
              <w:start w:w="90" w:type="dxa"/>
              <w:bottom w:w="60" w:type="dxa"/>
              <w:end w:w="90" w:type="dxa"/>
            </w:tcMar>
          </w:tcPr>
          <w:p>
            <w:pPr>
              <w:spacing w:after="0" w:line="240" w:lineRule="auto"/>
            </w:pPr>
            <w:r>
              <w:rPr>
                <w:rFonts w:ascii="Calibri" w:hAnsi="Calibri"/>
                <w:b/>
                <w:color w:val="FFFFFF"/>
                <w:sz w:val="17"/>
              </w:rPr>
              <w:t>Result</w:t>
            </w:r>
          </w:p>
        </w:tc>
      </w:tr>
      <w:tr>
        <w:tc>
          <w:tcPr>
            <w:tcW w:type="dxa" w:w="399"/>
            <w:tcMar>
              <w:top w:w="60" w:type="dxa"/>
              <w:start w:w="90" w:type="dxa"/>
              <w:bottom w:w="60" w:type="dxa"/>
              <w:end w:w="90" w:type="dxa"/>
            </w:tcMar>
          </w:tcPr>
          <w:p>
            <w:pPr>
              <w:spacing w:after="0" w:line="252" w:lineRule="auto"/>
            </w:pPr>
            <w:r>
              <w:rPr>
                <w:rFonts w:ascii="Calibri" w:hAnsi="Calibri"/>
                <w:sz w:val="16"/>
              </w:rPr>
              <w:t>1</w:t>
            </w:r>
          </w:p>
        </w:tc>
        <w:tc>
          <w:tcPr>
            <w:tcW w:type="dxa" w:w="1994"/>
            <w:tcMar>
              <w:top w:w="60" w:type="dxa"/>
              <w:start w:w="90" w:type="dxa"/>
              <w:bottom w:w="60" w:type="dxa"/>
              <w:end w:w="90" w:type="dxa"/>
            </w:tcMar>
          </w:tcPr>
          <w:p>
            <w:pPr>
              <w:spacing w:after="0" w:line="252" w:lineRule="auto"/>
            </w:pPr>
            <w:r>
              <w:rPr>
                <w:rFonts w:ascii="Calibri" w:hAnsi="Calibri"/>
                <w:sz w:val="16"/>
              </w:rPr>
              <w:t>Room 106 wifi under load</w:t>
            </w:r>
          </w:p>
        </w:tc>
        <w:tc>
          <w:tcPr>
            <w:tcW w:type="dxa" w:w="3390"/>
            <w:tcMar>
              <w:top w:w="60" w:type="dxa"/>
              <w:start w:w="90" w:type="dxa"/>
              <w:bottom w:w="60" w:type="dxa"/>
              <w:end w:w="90" w:type="dxa"/>
            </w:tcMar>
          </w:tcPr>
          <w:p>
            <w:pPr>
              <w:spacing w:after="0" w:line="252" w:lineRule="auto"/>
            </w:pPr>
            <w:r>
              <w:rPr>
                <w:rFonts w:ascii="Calibri" w:hAnsi="Calibri"/>
                <w:sz w:val="16"/>
              </w:rPr>
              <w:t>Get 25–30 students or 25 browser tabs on Colab at once in Room 106 and run a cell that imports pandas and reads a CSV. Ask ICT for the access-point count and per-AP client cap in writing.</w:t>
            </w:r>
          </w:p>
        </w:tc>
        <w:tc>
          <w:tcPr>
            <w:tcW w:type="dxa" w:w="3390"/>
            <w:tcMar>
              <w:top w:w="60" w:type="dxa"/>
              <w:start w:w="90" w:type="dxa"/>
              <w:bottom w:w="60" w:type="dxa"/>
              <w:end w:w="90" w:type="dxa"/>
            </w:tcMar>
          </w:tcPr>
          <w:p>
            <w:pPr>
              <w:spacing w:after="0" w:line="252" w:lineRule="auto"/>
            </w:pPr>
            <w:r>
              <w:rPr>
                <w:rFonts w:ascii="Calibri" w:hAnsi="Calibri"/>
                <w:sz w:val="16"/>
              </w:rPr>
              <w:t>Every session executes a cell within 30 s. ICT confirms the AP can hold ~100 clients.</w:t>
            </w:r>
          </w:p>
        </w:tc>
        <w:tc>
          <w:tcPr>
            <w:tcW w:type="dxa" w:w="798"/>
            <w:tcMar>
              <w:top w:w="60" w:type="dxa"/>
              <w:start w:w="90" w:type="dxa"/>
              <w:bottom w:w="60" w:type="dxa"/>
              <w:end w:w="90" w:type="dxa"/>
            </w:tcMar>
          </w:tcPr>
          <w:p>
            <w:pPr>
              <w:spacing w:after="0" w:line="252" w:lineRule="auto"/>
            </w:pPr>
            <w:r>
              <w:rPr>
                <w:rFonts w:ascii="Calibri" w:hAnsi="Calibri"/>
                <w:sz w:val="16"/>
              </w:rPr>
            </w:r>
          </w:p>
        </w:tc>
      </w:tr>
      <w:tr>
        <w:tc>
          <w:tcPr>
            <w:tcW w:type="dxa" w:w="399"/>
            <w:tcMar>
              <w:top w:w="60" w:type="dxa"/>
              <w:start w:w="90" w:type="dxa"/>
              <w:bottom w:w="60" w:type="dxa"/>
              <w:end w:w="90" w:type="dxa"/>
            </w:tcMar>
            <w:shd w:val="clear" w:color="auto" w:fill="F2F5FB"/>
          </w:tcPr>
          <w:p>
            <w:pPr>
              <w:spacing w:after="0" w:line="252" w:lineRule="auto"/>
            </w:pPr>
            <w:r>
              <w:rPr>
                <w:rFonts w:ascii="Calibri" w:hAnsi="Calibri"/>
                <w:sz w:val="16"/>
              </w:rPr>
              <w:t>2</w:t>
            </w:r>
          </w:p>
        </w:tc>
        <w:tc>
          <w:tcPr>
            <w:tcW w:type="dxa" w:w="1994"/>
            <w:tcMar>
              <w:top w:w="60" w:type="dxa"/>
              <w:start w:w="90" w:type="dxa"/>
              <w:bottom w:w="60" w:type="dxa"/>
              <w:end w:w="90" w:type="dxa"/>
            </w:tcMar>
            <w:shd w:val="clear" w:color="auto" w:fill="F2F5FB"/>
          </w:tcPr>
          <w:p>
            <w:pPr>
              <w:spacing w:after="0" w:line="252" w:lineRule="auto"/>
            </w:pPr>
            <w:r>
              <w:rPr>
                <w:rFonts w:ascii="Calibri" w:hAnsi="Calibri"/>
                <w:sz w:val="16"/>
              </w:rPr>
              <w:t>Colab file upload</w:t>
            </w:r>
          </w:p>
        </w:tc>
        <w:tc>
          <w:tcPr>
            <w:tcW w:type="dxa" w:w="3390"/>
            <w:tcMar>
              <w:top w:w="60" w:type="dxa"/>
              <w:start w:w="90" w:type="dxa"/>
              <w:bottom w:w="60" w:type="dxa"/>
              <w:end w:w="90" w:type="dxa"/>
            </w:tcMar>
            <w:shd w:val="clear" w:color="auto" w:fill="F2F5FB"/>
          </w:tcPr>
          <w:p>
            <w:pPr>
              <w:spacing w:after="0" w:line="252" w:lineRule="auto"/>
            </w:pPr>
            <w:r>
              <w:rPr>
                <w:rFonts w:ascii="Calibri" w:hAnsi="Calibri"/>
                <w:sz w:val="16"/>
              </w:rPr>
              <w:t>In a real Colab notebook run files.upload() and upload a small CSV from the machine you will teach from.</w:t>
            </w:r>
          </w:p>
        </w:tc>
        <w:tc>
          <w:tcPr>
            <w:tcW w:type="dxa" w:w="3390"/>
            <w:tcMar>
              <w:top w:w="60" w:type="dxa"/>
              <w:start w:w="90" w:type="dxa"/>
              <w:bottom w:w="60" w:type="dxa"/>
              <w:end w:w="90" w:type="dxa"/>
            </w:tcMar>
            <w:shd w:val="clear" w:color="auto" w:fill="F2F5FB"/>
          </w:tcPr>
          <w:p>
            <w:pPr>
              <w:spacing w:after="0" w:line="252" w:lineRule="auto"/>
            </w:pPr>
            <w:r>
              <w:rPr>
                <w:rFonts w:ascii="Calibri" w:hAnsi="Calibri"/>
                <w:sz w:val="16"/>
              </w:rPr>
              <w:t>The file appears and pandas reads it. If it fails, the fallback is mounting Drive, and the Week 2 deck needs one slide changed.</w:t>
            </w:r>
          </w:p>
        </w:tc>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r>
          </w:p>
        </w:tc>
      </w:tr>
      <w:tr>
        <w:tc>
          <w:tcPr>
            <w:tcW w:type="dxa" w:w="399"/>
            <w:tcMar>
              <w:top w:w="60" w:type="dxa"/>
              <w:start w:w="90" w:type="dxa"/>
              <w:bottom w:w="60" w:type="dxa"/>
              <w:end w:w="90" w:type="dxa"/>
            </w:tcMar>
          </w:tcPr>
          <w:p>
            <w:pPr>
              <w:spacing w:after="0" w:line="252" w:lineRule="auto"/>
            </w:pPr>
            <w:r>
              <w:rPr>
                <w:rFonts w:ascii="Calibri" w:hAnsi="Calibri"/>
                <w:sz w:val="16"/>
              </w:rPr>
              <w:t>3</w:t>
            </w:r>
          </w:p>
        </w:tc>
        <w:tc>
          <w:tcPr>
            <w:tcW w:type="dxa" w:w="1994"/>
            <w:tcMar>
              <w:top w:w="60" w:type="dxa"/>
              <w:start w:w="90" w:type="dxa"/>
              <w:bottom w:w="60" w:type="dxa"/>
              <w:end w:w="90" w:type="dxa"/>
            </w:tcMar>
          </w:tcPr>
          <w:p>
            <w:pPr>
              <w:spacing w:after="0" w:line="252" w:lineRule="auto"/>
            </w:pPr>
            <w:r>
              <w:rPr>
                <w:rFonts w:ascii="Calibri" w:hAnsi="Calibri"/>
                <w:sz w:val="16"/>
              </w:rPr>
              <w:t>The Windows offline installer</w:t>
            </w:r>
          </w:p>
        </w:tc>
        <w:tc>
          <w:tcPr>
            <w:tcW w:type="dxa" w:w="3390"/>
            <w:tcMar>
              <w:top w:w="60" w:type="dxa"/>
              <w:start w:w="90" w:type="dxa"/>
              <w:bottom w:w="60" w:type="dxa"/>
              <w:end w:w="90" w:type="dxa"/>
            </w:tcMar>
          </w:tcPr>
          <w:p>
            <w:pPr>
              <w:spacing w:after="0" w:line="252" w:lineRule="auto"/>
            </w:pPr>
            <w:r>
              <w:rPr>
                <w:rFonts w:ascii="Calibri" w:hAnsi="Calibri"/>
                <w:sz w:val="16"/>
              </w:rPr>
              <w:t>Run install_offline_windows.bat on a Windows laptop that has never had Python installed. This has never been executed — there was no cmd.exe in the build environment.</w:t>
            </w:r>
          </w:p>
        </w:tc>
        <w:tc>
          <w:tcPr>
            <w:tcW w:type="dxa" w:w="3390"/>
            <w:tcMar>
              <w:top w:w="60" w:type="dxa"/>
              <w:start w:w="90" w:type="dxa"/>
              <w:bottom w:w="60" w:type="dxa"/>
              <w:end w:w="90" w:type="dxa"/>
            </w:tcMar>
          </w:tcPr>
          <w:p>
            <w:pPr>
              <w:spacing w:after="0" w:line="252" w:lineRule="auto"/>
            </w:pPr>
            <w:r>
              <w:rPr>
                <w:rFonts w:ascii="Calibri" w:hAnsi="Calibri"/>
                <w:sz w:val="16"/>
              </w:rPr>
              <w:t>Python, the packages and VS Code install without a network. Any student it fails for is routed to Colab.</w:t>
            </w:r>
          </w:p>
        </w:tc>
        <w:tc>
          <w:tcPr>
            <w:tcW w:type="dxa" w:w="798"/>
            <w:tcMar>
              <w:top w:w="60" w:type="dxa"/>
              <w:start w:w="90" w:type="dxa"/>
              <w:bottom w:w="60" w:type="dxa"/>
              <w:end w:w="90" w:type="dxa"/>
            </w:tcMar>
          </w:tcPr>
          <w:p>
            <w:pPr>
              <w:spacing w:after="0" w:line="252" w:lineRule="auto"/>
            </w:pPr>
            <w:r>
              <w:rPr>
                <w:rFonts w:ascii="Calibri" w:hAnsi="Calibri"/>
                <w:sz w:val="16"/>
              </w:rPr>
            </w:r>
          </w:p>
        </w:tc>
      </w:tr>
      <w:tr>
        <w:tc>
          <w:tcPr>
            <w:tcW w:type="dxa" w:w="399"/>
            <w:tcMar>
              <w:top w:w="60" w:type="dxa"/>
              <w:start w:w="90" w:type="dxa"/>
              <w:bottom w:w="60" w:type="dxa"/>
              <w:end w:w="90" w:type="dxa"/>
            </w:tcMar>
            <w:shd w:val="clear" w:color="auto" w:fill="F2F5FB"/>
          </w:tcPr>
          <w:p>
            <w:pPr>
              <w:spacing w:after="0" w:line="252" w:lineRule="auto"/>
            </w:pPr>
            <w:r>
              <w:rPr>
                <w:rFonts w:ascii="Calibri" w:hAnsi="Calibri"/>
                <w:sz w:val="16"/>
              </w:rPr>
              <w:t>4</w:t>
            </w:r>
          </w:p>
        </w:tc>
        <w:tc>
          <w:tcPr>
            <w:tcW w:type="dxa" w:w="1994"/>
            <w:tcMar>
              <w:top w:w="60" w:type="dxa"/>
              <w:start w:w="90" w:type="dxa"/>
              <w:bottom w:w="60" w:type="dxa"/>
              <w:end w:w="90" w:type="dxa"/>
            </w:tcMar>
            <w:shd w:val="clear" w:color="auto" w:fill="F2F5FB"/>
          </w:tcPr>
          <w:p>
            <w:pPr>
              <w:spacing w:after="0" w:line="252" w:lineRule="auto"/>
            </w:pPr>
            <w:r>
              <w:rPr>
                <w:rFonts w:ascii="Calibri" w:hAnsi="Calibri"/>
                <w:sz w:val="16"/>
              </w:rPr>
              <w:t>Apps Script HMAC signing</w:t>
            </w:r>
          </w:p>
        </w:tc>
        <w:tc>
          <w:tcPr>
            <w:tcW w:type="dxa" w:w="3390"/>
            <w:tcMar>
              <w:top w:w="60" w:type="dxa"/>
              <w:start w:w="90" w:type="dxa"/>
              <w:bottom w:w="60" w:type="dxa"/>
              <w:end w:w="90" w:type="dxa"/>
            </w:tcMar>
            <w:shd w:val="clear" w:color="auto" w:fill="F2F5FB"/>
          </w:tcPr>
          <w:p>
            <w:pPr>
              <w:spacing w:after="0" w:line="252" w:lineRule="auto"/>
            </w:pPr>
            <w:r>
              <w:rPr>
                <w:rFonts w:ascii="Calibri" w:hAnsi="Calibri"/>
                <w:sz w:val="16"/>
              </w:rPr>
              <w:t>In the gradebook Apps Script, sign a known string with computeHmacSha256Signature and compare the result against the token iuea_grader.py produces for the same string.</w:t>
            </w:r>
          </w:p>
        </w:tc>
        <w:tc>
          <w:tcPr>
            <w:tcW w:type="dxa" w:w="3390"/>
            <w:tcMar>
              <w:top w:w="60" w:type="dxa"/>
              <w:start w:w="90" w:type="dxa"/>
              <w:bottom w:w="60" w:type="dxa"/>
              <w:end w:w="90" w:type="dxa"/>
            </w:tcMar>
            <w:shd w:val="clear" w:color="auto" w:fill="F2F5FB"/>
          </w:tcPr>
          <w:p>
            <w:pPr>
              <w:spacing w:after="0" w:line="252" w:lineRule="auto"/>
            </w:pPr>
            <w:r>
              <w:rPr>
                <w:rFonts w:ascii="Calibri" w:hAnsi="Calibri"/>
                <w:sz w:val="16"/>
              </w:rPr>
              <w:t>The two match byte for byte. If they differ, submission tokens cannot be verified and batch_grade.py --sample becomes the only check.</w:t>
            </w:r>
          </w:p>
        </w:tc>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r>
          </w:p>
        </w:tc>
      </w:tr>
    </w:tbl>
    <w:p>
      <w:pPr>
        <w:spacing w:after="160"/>
      </w:pPr>
    </w:p>
    <w:tbl>
      <w:tblPr>
        <w:tblW w:type="auto" w:w="0"/>
        <w:jc w:val="center"/>
        <w:tblLayout w:type="fixed"/>
        <w:tblLook w:firstColumn="1" w:firstRow="1" w:lastColumn="0" w:lastRow="0" w:noHBand="0" w:noVBand="1" w:val="04A0"/>
        <w:tblBorders>
          <w:top w:val="single" w:sz="6" w:space="0" w:color="C55A11"/>
          <w:bottom w:val="single" w:sz="6" w:space="0" w:color="C55A11"/>
          <w:left w:val="single" w:sz="24" w:space="0" w:color="C55A11"/>
          <w:right w:val="single" w:sz="6" w:space="0" w:color="C55A11"/>
        </w:tblBorders>
      </w:tblPr>
      <w:tblGrid>
        <w:gridCol w:w="9972"/>
      </w:tblGrid>
      <w:tr>
        <w:tc>
          <w:tcPr>
            <w:tcW w:type="dxa" w:w="9972"/>
            <w:tcMar>
              <w:top w:w="110" w:type="dxa"/>
              <w:start w:w="170" w:type="dxa"/>
              <w:bottom w:w="110" w:type="dxa"/>
              <w:end w:w="140" w:type="dxa"/>
            </w:tcMar>
            <w:shd w:val="clear" w:color="auto" w:fill="FFF2CC"/>
          </w:tcPr>
          <w:p>
            <w:pPr>
              <w:spacing w:after="60"/>
            </w:pPr>
            <w:r>
              <w:rPr>
                <w:rFonts w:ascii="Calibri" w:hAnsi="Calibri"/>
                <w:b/>
                <w:color w:val="C55A11"/>
                <w:sz w:val="19"/>
              </w:rPr>
              <w:t>If number 1 fails</w:t>
            </w:r>
          </w:p>
          <w:p>
            <w:pPr>
              <w:spacing w:after="0" w:line="269" w:lineRule="auto"/>
            </w:pPr>
            <w:r>
              <w:rPr>
                <w:rFonts w:ascii="Calibri" w:hAnsi="Calibri"/>
                <w:sz w:val="20"/>
              </w:rPr>
              <w:t>This is the one with no software workaround. The Week 2 session onwards assumes roughly a hundred simultaneous Colab sessions in Room 106. If the room cannot carry it, the options are to split CML3112 into two half-cohorts for hands-on weeks, to move that cohort to a room with better coverage, or to fall back to the offline bundle for that cohort only. All three cost real time to arrange, which is why this is tested in Week 1 rather than discovered in Week 2.</w:t>
            </w:r>
          </w:p>
        </w:tc>
      </w:tr>
    </w:tbl>
    <w:p>
      <w:pPr>
        <w:spacing w:after="160"/>
      </w:pPr>
    </w:p>
    <w:p>
      <w:r>
        <w:br w:type="page"/>
      </w:r>
    </w:p>
    <w:p>
      <w:pPr>
        <w:pStyle w:val="Heading1"/>
      </w:pPr>
      <w:r>
        <w:t>2 · Week 1 materials</w:t>
      </w:r>
    </w:p>
    <w:p>
      <w:pPr>
        <w:spacing w:after="160" w:before="0" w:line="276" w:lineRule="auto"/>
      </w:pPr>
      <w:r>
        <w:rPr>
          <w:rFonts w:ascii="Calibri" w:hAnsi="Calibri"/>
          <w:b w:val="0"/>
          <w:i w:val="0"/>
          <w:sz w:val="21"/>
        </w:rPr>
        <w:t>All of these are built and validated. This section is a presence check, not a build instruction.</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1794"/>
        <w:gridCol w:w="3390"/>
        <w:gridCol w:w="4786"/>
      </w:tblGrid>
      <w:tr>
        <w:trPr>
          <w:tblHeader w:val="true"/>
        </w:trPr>
        <w:tc>
          <w:tcPr>
            <w:tcW w:type="dxa" w:w="1795"/>
            <w:shd w:val="clear" w:color="auto" w:fill="1F3864"/>
            <w:tcMar>
              <w:top w:w="60" w:type="dxa"/>
              <w:start w:w="90" w:type="dxa"/>
              <w:bottom w:w="60" w:type="dxa"/>
              <w:end w:w="90" w:type="dxa"/>
            </w:tcMar>
          </w:tcPr>
          <w:p>
            <w:pPr>
              <w:spacing w:after="0" w:line="240" w:lineRule="auto"/>
            </w:pPr>
            <w:r>
              <w:rPr>
                <w:rFonts w:ascii="Calibri" w:hAnsi="Calibri"/>
                <w:b/>
                <w:color w:val="FFFFFF"/>
                <w:sz w:val="17"/>
              </w:rPr>
              <w:t>Item</w:t>
            </w:r>
          </w:p>
        </w:tc>
        <w:tc>
          <w:tcPr>
            <w:tcW w:type="dxa" w:w="3390"/>
            <w:shd w:val="clear" w:color="auto" w:fill="1F3864"/>
            <w:tcMar>
              <w:top w:w="60" w:type="dxa"/>
              <w:start w:w="90" w:type="dxa"/>
              <w:bottom w:w="60" w:type="dxa"/>
              <w:end w:w="90" w:type="dxa"/>
            </w:tcMar>
          </w:tcPr>
          <w:p>
            <w:pPr>
              <w:spacing w:after="0" w:line="240" w:lineRule="auto"/>
            </w:pPr>
            <w:r>
              <w:rPr>
                <w:rFonts w:ascii="Calibri" w:hAnsi="Calibri"/>
                <w:b/>
                <w:color w:val="FFFFFF"/>
                <w:sz w:val="17"/>
              </w:rPr>
              <w:t>Where</w:t>
            </w:r>
          </w:p>
        </w:tc>
        <w:tc>
          <w:tcPr>
            <w:tcW w:type="dxa" w:w="4787"/>
            <w:shd w:val="clear" w:color="auto" w:fill="1F3864"/>
            <w:tcMar>
              <w:top w:w="60" w:type="dxa"/>
              <w:start w:w="90" w:type="dxa"/>
              <w:bottom w:w="60" w:type="dxa"/>
              <w:end w:w="90" w:type="dxa"/>
            </w:tcMar>
          </w:tcPr>
          <w:p>
            <w:pPr>
              <w:spacing w:after="0" w:line="240" w:lineRule="auto"/>
            </w:pPr>
            <w:r>
              <w:rPr>
                <w:rFonts w:ascii="Calibri" w:hAnsi="Calibri"/>
                <w:b/>
                <w:color w:val="FFFFFF"/>
                <w:sz w:val="17"/>
              </w:rPr>
              <w:t>Check</w:t>
            </w:r>
          </w:p>
        </w:tc>
      </w:tr>
      <w:tr>
        <w:tc>
          <w:tcPr>
            <w:tcW w:type="dxa" w:w="1795"/>
            <w:tcMar>
              <w:top w:w="60" w:type="dxa"/>
              <w:start w:w="90" w:type="dxa"/>
              <w:bottom w:w="60" w:type="dxa"/>
              <w:end w:w="90" w:type="dxa"/>
            </w:tcMar>
          </w:tcPr>
          <w:p>
            <w:pPr>
              <w:spacing w:after="0" w:line="252" w:lineRule="auto"/>
            </w:pPr>
            <w:r>
              <w:rPr>
                <w:rFonts w:ascii="Calibri" w:hAnsi="Calibri"/>
                <w:sz w:val="16"/>
              </w:rPr>
              <w:t>Week 1 deck, your cohort</w:t>
            </w:r>
          </w:p>
        </w:tc>
        <w:tc>
          <w:tcPr>
            <w:tcW w:type="dxa" w:w="3390"/>
            <w:tcMar>
              <w:top w:w="60" w:type="dxa"/>
              <w:start w:w="90" w:type="dxa"/>
              <w:bottom w:w="60" w:type="dxa"/>
              <w:end w:w="90" w:type="dxa"/>
            </w:tcMar>
          </w:tcPr>
          <w:p>
            <w:pPr>
              <w:spacing w:after="0" w:line="252" w:lineRule="auto"/>
            </w:pPr>
            <w:r>
              <w:rPr>
                <w:rFonts w:ascii="Calibri" w:hAnsi="Calibri"/>
                <w:sz w:val="16"/>
              </w:rPr>
              <w:t>decks/CML3112_Week01_Design_Infrastructure.pptx · CML3113_Week01_Mining_Petroleum.pptx · CML3111_Week01_Engineering.pptx</w:t>
            </w:r>
          </w:p>
        </w:tc>
        <w:tc>
          <w:tcPr>
            <w:tcW w:type="dxa" w:w="4787"/>
            <w:tcMar>
              <w:top w:w="60" w:type="dxa"/>
              <w:start w:w="90" w:type="dxa"/>
              <w:bottom w:w="60" w:type="dxa"/>
              <w:end w:w="90" w:type="dxa"/>
            </w:tcMar>
          </w:tcPr>
          <w:p>
            <w:pPr>
              <w:spacing w:after="0" w:line="252" w:lineRule="auto"/>
            </w:pPr>
            <w:r>
              <w:rPr>
                <w:rFonts w:ascii="Calibri" w:hAnsi="Calibri"/>
                <w:sz w:val="16"/>
              </w:rPr>
              <w:t>54 slides, starting with the title and your profile. Opens in PowerPoint with figures visible and speaker notes present.</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Lecturer teaching guide</w:t>
            </w:r>
          </w:p>
        </w:tc>
        <w:tc>
          <w:tcPr>
            <w:tcW w:type="dxa" w:w="3390"/>
            <w:tcMar>
              <w:top w:w="60" w:type="dxa"/>
              <w:start w:w="90" w:type="dxa"/>
              <w:bottom w:w="60" w:type="dxa"/>
              <w:end w:w="90" w:type="dxa"/>
            </w:tcMar>
            <w:shd w:val="clear" w:color="auto" w:fill="F2F5FB"/>
          </w:tcPr>
          <w:p>
            <w:pPr>
              <w:spacing w:after="0" w:line="252" w:lineRule="auto"/>
            </w:pPr>
            <w:r>
              <w:rPr>
                <w:rFonts w:ascii="Calibri" w:hAnsi="Calibri"/>
                <w:sz w:val="16"/>
              </w:rPr>
              <w:t>IUEA_ML_Lecturer_Teaching_Guide_W1-W15.docx</w:t>
            </w:r>
          </w:p>
        </w:tc>
        <w:tc>
          <w:tcPr>
            <w:tcW w:type="dxa" w:w="4787"/>
            <w:tcMar>
              <w:top w:w="60" w:type="dxa"/>
              <w:start w:w="90" w:type="dxa"/>
              <w:bottom w:w="60" w:type="dxa"/>
              <w:end w:w="90" w:type="dxa"/>
            </w:tcMar>
            <w:shd w:val="clear" w:color="auto" w:fill="F2F5FB"/>
          </w:tcPr>
          <w:p>
            <w:pPr>
              <w:spacing w:after="0" w:line="252" w:lineRule="auto"/>
            </w:pPr>
            <w:r>
              <w:rPr>
                <w:rFonts w:ascii="Calibri" w:hAnsi="Calibri"/>
                <w:sz w:val="16"/>
              </w:rPr>
              <w:t>Week 1 section read once before the session. NOT to be circulated — it holds the answer keys.</w:t>
            </w:r>
          </w:p>
        </w:tc>
      </w:tr>
      <w:tr>
        <w:tc>
          <w:tcPr>
            <w:tcW w:type="dxa" w:w="1795"/>
            <w:tcMar>
              <w:top w:w="60" w:type="dxa"/>
              <w:start w:w="90" w:type="dxa"/>
              <w:bottom w:w="60" w:type="dxa"/>
              <w:end w:w="90" w:type="dxa"/>
            </w:tcMar>
          </w:tcPr>
          <w:p>
            <w:pPr>
              <w:spacing w:after="0" w:line="252" w:lineRule="auto"/>
            </w:pPr>
            <w:r>
              <w:rPr>
                <w:rFonts w:ascii="Calibri" w:hAnsi="Calibri"/>
                <w:sz w:val="16"/>
              </w:rPr>
              <w:t>Student setup guide</w:t>
            </w:r>
          </w:p>
        </w:tc>
        <w:tc>
          <w:tcPr>
            <w:tcW w:type="dxa" w:w="3390"/>
            <w:tcMar>
              <w:top w:w="60" w:type="dxa"/>
              <w:start w:w="90" w:type="dxa"/>
              <w:bottom w:w="60" w:type="dxa"/>
              <w:end w:w="90" w:type="dxa"/>
            </w:tcMar>
          </w:tcPr>
          <w:p>
            <w:pPr>
              <w:spacing w:after="0" w:line="252" w:lineRule="auto"/>
            </w:pPr>
            <w:r>
              <w:rPr>
                <w:rFonts w:ascii="Calibri" w:hAnsi="Calibri"/>
                <w:sz w:val="16"/>
              </w:rPr>
              <w:t>IUEA_ML_Student_Setup_Guide.docx</w:t>
            </w:r>
          </w:p>
        </w:tc>
        <w:tc>
          <w:tcPr>
            <w:tcW w:type="dxa" w:w="4787"/>
            <w:tcMar>
              <w:top w:w="60" w:type="dxa"/>
              <w:start w:w="90" w:type="dxa"/>
              <w:bottom w:w="60" w:type="dxa"/>
              <w:end w:w="90" w:type="dxa"/>
            </w:tcMar>
          </w:tcPr>
          <w:p>
            <w:pPr>
              <w:spacing w:after="0" w:line="252" w:lineRule="auto"/>
            </w:pPr>
            <w:r>
              <w:rPr>
                <w:rFonts w:ascii="Calibri" w:hAnsi="Calibri"/>
                <w:sz w:val="16"/>
              </w:rPr>
              <w:t>Printed or shared. Tells students NOT to install Python beforehand.</w:t>
            </w:r>
          </w:p>
        </w:tc>
      </w:tr>
      <w:tr>
        <w:tc>
          <w:tcPr>
            <w:tcW w:type="dxa" w:w="1795"/>
            <w:tcMar>
              <w:top w:w="60" w:type="dxa"/>
              <w:start w:w="90" w:type="dxa"/>
              <w:bottom w:w="60" w:type="dxa"/>
              <w:end w:w="90" w:type="dxa"/>
            </w:tcMar>
            <w:shd w:val="clear" w:color="auto" w:fill="F2F5FB"/>
          </w:tcPr>
          <w:p>
            <w:pPr>
              <w:spacing w:after="0" w:line="252" w:lineRule="auto"/>
            </w:pPr>
            <w:r>
              <w:rPr>
                <w:rFonts w:ascii="Calibri" w:hAnsi="Calibri"/>
                <w:sz w:val="16"/>
              </w:rPr>
              <w:t>Syllabus, your cohort</w:t>
            </w:r>
          </w:p>
        </w:tc>
        <w:tc>
          <w:tcPr>
            <w:tcW w:type="dxa" w:w="3390"/>
            <w:tcMar>
              <w:top w:w="60" w:type="dxa"/>
              <w:start w:w="90" w:type="dxa"/>
              <w:bottom w:w="60" w:type="dxa"/>
              <w:end w:w="90" w:type="dxa"/>
            </w:tcMar>
            <w:shd w:val="clear" w:color="auto" w:fill="F2F5FB"/>
          </w:tcPr>
          <w:p>
            <w:pPr>
              <w:spacing w:after="0" w:line="252" w:lineRule="auto"/>
            </w:pPr>
            <w:r>
              <w:rPr>
                <w:rFonts w:ascii="Calibri" w:hAnsi="Calibri"/>
                <w:sz w:val="16"/>
              </w:rPr>
              <w:t>IUEA_ML_Syllabus_CohortA/B/C_*.docx</w:t>
            </w:r>
          </w:p>
        </w:tc>
        <w:tc>
          <w:tcPr>
            <w:tcW w:type="dxa" w:w="4787"/>
            <w:tcMar>
              <w:top w:w="60" w:type="dxa"/>
              <w:start w:w="90" w:type="dxa"/>
              <w:bottom w:w="60" w:type="dxa"/>
              <w:end w:w="90" w:type="dxa"/>
            </w:tcMar>
            <w:shd w:val="clear" w:color="auto" w:fill="F2F5FB"/>
          </w:tcPr>
          <w:p>
            <w:pPr>
              <w:spacing w:after="0" w:line="252" w:lineRule="auto"/>
            </w:pPr>
            <w:r>
              <w:rPr>
                <w:rFonts w:ascii="Calibri" w:hAnsi="Calibri"/>
                <w:sz w:val="16"/>
              </w:rPr>
              <w:t>Published to students in Week 1, including the assessment weights.</w:t>
            </w:r>
          </w:p>
        </w:tc>
      </w:tr>
      <w:tr>
        <w:tc>
          <w:tcPr>
            <w:tcW w:type="dxa" w:w="1795"/>
            <w:tcMar>
              <w:top w:w="60" w:type="dxa"/>
              <w:start w:w="90" w:type="dxa"/>
              <w:bottom w:w="60" w:type="dxa"/>
              <w:end w:w="90" w:type="dxa"/>
            </w:tcMar>
          </w:tcPr>
          <w:p>
            <w:pPr>
              <w:spacing w:after="0" w:line="252" w:lineRule="auto"/>
            </w:pPr>
            <w:r>
              <w:rPr>
                <w:rFonts w:ascii="Calibri" w:hAnsi="Calibri"/>
                <w:sz w:val="16"/>
              </w:rPr>
              <w:t>Pre-work video</w:t>
            </w:r>
          </w:p>
        </w:tc>
        <w:tc>
          <w:tcPr>
            <w:tcW w:type="dxa" w:w="3390"/>
            <w:tcMar>
              <w:top w:w="60" w:type="dxa"/>
              <w:start w:w="90" w:type="dxa"/>
              <w:bottom w:w="60" w:type="dxa"/>
              <w:end w:w="90" w:type="dxa"/>
            </w:tcMar>
          </w:tcPr>
          <w:p>
            <w:pPr>
              <w:spacing w:after="0" w:line="252" w:lineRule="auto"/>
            </w:pPr>
            <w:r>
              <w:rPr>
                <w:rFonts w:ascii="Calibri" w:hAnsi="Calibri"/>
                <w:sz w:val="16"/>
              </w:rPr>
              <w:t>IBM Technology, AI / ML / Deep Learning / Generative AI Explained</w:t>
            </w:r>
          </w:p>
        </w:tc>
        <w:tc>
          <w:tcPr>
            <w:tcW w:type="dxa" w:w="4787"/>
            <w:tcMar>
              <w:top w:w="60" w:type="dxa"/>
              <w:start w:w="90" w:type="dxa"/>
              <w:bottom w:w="60" w:type="dxa"/>
              <w:end w:w="90" w:type="dxa"/>
            </w:tcMar>
          </w:tcPr>
          <w:p>
            <w:pPr>
              <w:spacing w:after="0" w:line="252" w:lineRule="auto"/>
            </w:pPr>
            <w:r>
              <w:rPr>
                <w:rFonts w:ascii="Calibri" w:hAnsi="Calibri"/>
                <w:sz w:val="16"/>
              </w:rPr>
              <w:t>youtube.com/watch?v=qYNweeDHiyU · under 10 minutes · link tested from your own machine on the day.</w:t>
            </w:r>
          </w:p>
        </w:tc>
      </w:tr>
    </w:tbl>
    <w:p>
      <w:pPr>
        <w:spacing w:after="120"/>
      </w:pPr>
    </w:p>
    <w:p>
      <w:pPr>
        <w:pStyle w:val="Heading2"/>
      </w:pPr>
      <w:r>
        <w:t>The three things Week 1 actually has to achieve</w:t>
      </w:r>
    </w:p>
    <w:p>
      <w:pPr>
        <w:spacing w:after="160" w:before="0" w:line="276" w:lineRule="auto"/>
      </w:pPr>
      <w:r>
        <w:rPr>
          <w:rFonts w:ascii="Calibri" w:hAnsi="Calibri"/>
          <w:b w:val="0"/>
          <w:i w:val="0"/>
          <w:sz w:val="21"/>
        </w:rPr>
        <w:t>Everything else on the slides is in service of these. If the session runs short, protect them in this order.</w:t>
      </w:r>
    </w:p>
    <w:tbl>
      <w:tblPr>
        <w:tblW w:type="auto" w:w="0"/>
        <w:jc w:val="center"/>
        <w:tblLayout w:type="fixed"/>
        <w:tblLook w:firstColumn="1" w:firstRow="1" w:lastColumn="0" w:lastRow="0" w:noHBand="0" w:noVBand="1" w:val="04A0"/>
        <w:tblLayout w:type="fixed"/>
        <w:tblBorders>
          <w:top w:val="single" w:sz="6" w:space="0" w:color="B4C6E7"/>
          <w:left w:val="single" w:sz="6" w:space="0" w:color="B4C6E7"/>
          <w:bottom w:val="single" w:sz="6" w:space="0" w:color="B4C6E7"/>
          <w:right w:val="single" w:sz="6" w:space="0" w:color="B4C6E7"/>
          <w:insideH w:val="single" w:sz="4" w:space="0" w:color="D9E2F3"/>
          <w:insideV w:val="single" w:sz="4" w:space="0" w:color="D9E2F3"/>
        </w:tblBorders>
      </w:tblPr>
      <w:tblGrid>
        <w:gridCol w:w="797"/>
        <w:gridCol w:w="4387"/>
        <w:gridCol w:w="4786"/>
      </w:tblGrid>
      <w:tr>
        <w:trPr>
          <w:tblHeader w:val="true"/>
        </w:trPr>
        <w:tc>
          <w:tcPr>
            <w:tcW w:type="dxa" w:w="798"/>
            <w:shd w:val="clear" w:color="auto" w:fill="1F3864"/>
            <w:tcMar>
              <w:top w:w="60" w:type="dxa"/>
              <w:start w:w="90" w:type="dxa"/>
              <w:bottom w:w="60" w:type="dxa"/>
              <w:end w:w="90" w:type="dxa"/>
            </w:tcMar>
          </w:tcPr>
          <w:p>
            <w:pPr>
              <w:spacing w:after="0" w:line="240" w:lineRule="auto"/>
            </w:pPr>
            <w:r>
              <w:rPr>
                <w:rFonts w:ascii="Calibri" w:hAnsi="Calibri"/>
                <w:b/>
                <w:color w:val="FFFFFF"/>
                <w:sz w:val="17"/>
              </w:rPr>
              <w:t>Priority</w:t>
            </w:r>
          </w:p>
        </w:tc>
        <w:tc>
          <w:tcPr>
            <w:tcW w:type="dxa" w:w="4388"/>
            <w:shd w:val="clear" w:color="auto" w:fill="1F3864"/>
            <w:tcMar>
              <w:top w:w="60" w:type="dxa"/>
              <w:start w:w="90" w:type="dxa"/>
              <w:bottom w:w="60" w:type="dxa"/>
              <w:end w:w="90" w:type="dxa"/>
            </w:tcMar>
          </w:tcPr>
          <w:p>
            <w:pPr>
              <w:spacing w:after="0" w:line="240" w:lineRule="auto"/>
            </w:pPr>
            <w:r>
              <w:rPr>
                <w:rFonts w:ascii="Calibri" w:hAnsi="Calibri"/>
                <w:b/>
                <w:color w:val="FFFFFF"/>
                <w:sz w:val="17"/>
              </w:rPr>
              <w:t>Outcome</w:t>
            </w:r>
          </w:p>
        </w:tc>
        <w:tc>
          <w:tcPr>
            <w:tcW w:type="dxa" w:w="4787"/>
            <w:shd w:val="clear" w:color="auto" w:fill="1F3864"/>
            <w:tcMar>
              <w:top w:w="60" w:type="dxa"/>
              <w:start w:w="90" w:type="dxa"/>
              <w:bottom w:w="60" w:type="dxa"/>
              <w:end w:w="90" w:type="dxa"/>
            </w:tcMar>
          </w:tcPr>
          <w:p>
            <w:pPr>
              <w:spacing w:after="0" w:line="240" w:lineRule="auto"/>
            </w:pPr>
            <w:r>
              <w:rPr>
                <w:rFonts w:ascii="Calibri" w:hAnsi="Calibri"/>
                <w:b/>
                <w:color w:val="FFFFFF"/>
                <w:sz w:val="17"/>
              </w:rPr>
              <w:t>How you know it happened</w:t>
            </w:r>
          </w:p>
        </w:tc>
      </w:tr>
      <w:tr>
        <w:tc>
          <w:tcPr>
            <w:tcW w:type="dxa" w:w="798"/>
            <w:tcMar>
              <w:top w:w="60" w:type="dxa"/>
              <w:start w:w="90" w:type="dxa"/>
              <w:bottom w:w="60" w:type="dxa"/>
              <w:end w:w="90" w:type="dxa"/>
            </w:tcMar>
          </w:tcPr>
          <w:p>
            <w:pPr>
              <w:spacing w:after="0" w:line="252" w:lineRule="auto"/>
            </w:pPr>
            <w:r>
              <w:rPr>
                <w:rFonts w:ascii="Calibri" w:hAnsi="Calibri"/>
                <w:sz w:val="16"/>
              </w:rPr>
              <w:t>1</w:t>
            </w:r>
          </w:p>
        </w:tc>
        <w:tc>
          <w:tcPr>
            <w:tcW w:type="dxa" w:w="4388"/>
            <w:tcMar>
              <w:top w:w="60" w:type="dxa"/>
              <w:start w:w="90" w:type="dxa"/>
              <w:bottom w:w="60" w:type="dxa"/>
              <w:end w:w="90" w:type="dxa"/>
            </w:tcMar>
          </w:tcPr>
          <w:p>
            <w:pPr>
              <w:spacing w:after="0" w:line="252" w:lineRule="auto"/>
            </w:pPr>
            <w:r>
              <w:rPr>
                <w:rFonts w:ascii="Calibri" w:hAnsi="Calibri"/>
                <w:sz w:val="16"/>
              </w:rPr>
              <w:t>Every student has done machine learning once, on paper, before any software appears.</w:t>
            </w:r>
          </w:p>
        </w:tc>
        <w:tc>
          <w:tcPr>
            <w:tcW w:type="dxa" w:w="4787"/>
            <w:tcMar>
              <w:top w:w="60" w:type="dxa"/>
              <w:start w:w="90" w:type="dxa"/>
              <w:bottom w:w="60" w:type="dxa"/>
              <w:end w:w="90" w:type="dxa"/>
            </w:tcMar>
          </w:tcPr>
          <w:p>
            <w:pPr>
              <w:spacing w:after="0" w:line="252" w:lineRule="auto"/>
            </w:pPr>
            <w:r>
              <w:rPr>
                <w:rFonts w:ascii="Calibri" w:hAnsi="Calibri"/>
                <w:sz w:val="16"/>
              </w:rPr>
              <w:t>The hand-prediction exercise is complete and the error arrow has been drawn. Students can say what a feature and a target are without prompting.</w:t>
            </w:r>
          </w:p>
        </w:tc>
      </w:tr>
      <w:tr>
        <w:tc>
          <w:tcPr>
            <w:tcW w:type="dxa" w:w="798"/>
            <w:tcMar>
              <w:top w:w="60" w:type="dxa"/>
              <w:start w:w="90" w:type="dxa"/>
              <w:bottom w:w="60" w:type="dxa"/>
              <w:end w:w="90" w:type="dxa"/>
            </w:tcMar>
            <w:shd w:val="clear" w:color="auto" w:fill="F2F5FB"/>
          </w:tcPr>
          <w:p>
            <w:pPr>
              <w:spacing w:after="0" w:line="252" w:lineRule="auto"/>
            </w:pPr>
            <w:r>
              <w:rPr>
                <w:rFonts w:ascii="Calibri" w:hAnsi="Calibri"/>
                <w:sz w:val="16"/>
              </w:rPr>
              <w:t>2</w:t>
            </w:r>
          </w:p>
        </w:tc>
        <w:tc>
          <w:tcPr>
            <w:tcW w:type="dxa" w:w="4388"/>
            <w:tcMar>
              <w:top w:w="60" w:type="dxa"/>
              <w:start w:w="90" w:type="dxa"/>
              <w:bottom w:w="60" w:type="dxa"/>
              <w:end w:w="90" w:type="dxa"/>
            </w:tcMar>
            <w:shd w:val="clear" w:color="auto" w:fill="F2F5FB"/>
          </w:tcPr>
          <w:p>
            <w:pPr>
              <w:spacing w:after="0" w:line="252" w:lineRule="auto"/>
            </w:pPr>
            <w:r>
              <w:rPr>
                <w:rFonts w:ascii="Calibri" w:hAnsi="Calibri"/>
                <w:sz w:val="16"/>
              </w:rPr>
              <w:t>Every student knows they already hold the hardest prerequisite.</w:t>
            </w:r>
          </w:p>
        </w:tc>
        <w:tc>
          <w:tcPr>
            <w:tcW w:type="dxa" w:w="4787"/>
            <w:tcMar>
              <w:top w:w="60" w:type="dxa"/>
              <w:start w:w="90" w:type="dxa"/>
              <w:bottom w:w="60" w:type="dxa"/>
              <w:end w:w="90" w:type="dxa"/>
            </w:tcMar>
            <w:shd w:val="clear" w:color="auto" w:fill="F2F5FB"/>
          </w:tcPr>
          <w:p>
            <w:pPr>
              <w:spacing w:after="0" w:line="252" w:lineRule="auto"/>
            </w:pPr>
            <w:r>
              <w:rPr>
                <w:rFonts w:ascii="Calibri" w:hAnsi="Calibri"/>
                <w:sz w:val="16"/>
              </w:rPr>
              <w:t>The roadmap segment has been delivered and the point about Years 1–2 mathematics has been said out loud. This is the single highest-value sentence in the session for a cohort that assumes ML belongs to computer scientists.</w:t>
            </w:r>
          </w:p>
        </w:tc>
      </w:tr>
      <w:tr>
        <w:tc>
          <w:tcPr>
            <w:tcW w:type="dxa" w:w="798"/>
            <w:tcMar>
              <w:top w:w="60" w:type="dxa"/>
              <w:start w:w="90" w:type="dxa"/>
              <w:bottom w:w="60" w:type="dxa"/>
              <w:end w:w="90" w:type="dxa"/>
            </w:tcMar>
          </w:tcPr>
          <w:p>
            <w:pPr>
              <w:spacing w:after="0" w:line="252" w:lineRule="auto"/>
            </w:pPr>
            <w:r>
              <w:rPr>
                <w:rFonts w:ascii="Calibri" w:hAnsi="Calibri"/>
                <w:sz w:val="16"/>
              </w:rPr>
              <w:t>3</w:t>
            </w:r>
          </w:p>
        </w:tc>
        <w:tc>
          <w:tcPr>
            <w:tcW w:type="dxa" w:w="4388"/>
            <w:tcMar>
              <w:top w:w="60" w:type="dxa"/>
              <w:start w:w="90" w:type="dxa"/>
              <w:bottom w:w="60" w:type="dxa"/>
              <w:end w:w="90" w:type="dxa"/>
            </w:tcMar>
          </w:tcPr>
          <w:p>
            <w:pPr>
              <w:spacing w:after="0" w:line="252" w:lineRule="auto"/>
            </w:pPr>
            <w:r>
              <w:rPr>
                <w:rFonts w:ascii="Calibri" w:hAnsi="Calibri"/>
                <w:sz w:val="16"/>
              </w:rPr>
              <w:t>Nobody leaves without knowing how they are assessed and that both tests are offline.</w:t>
            </w:r>
          </w:p>
        </w:tc>
        <w:tc>
          <w:tcPr>
            <w:tcW w:type="dxa" w:w="4787"/>
            <w:tcMar>
              <w:top w:w="60" w:type="dxa"/>
              <w:start w:w="90" w:type="dxa"/>
              <w:bottom w:w="60" w:type="dxa"/>
              <w:end w:w="90" w:type="dxa"/>
            </w:tcMar>
          </w:tcPr>
          <w:p>
            <w:pPr>
              <w:spacing w:after="0" w:line="252" w:lineRule="auto"/>
            </w:pPr>
            <w:r>
              <w:rPr>
                <w:rFonts w:ascii="Calibri" w:hAnsi="Calibri"/>
                <w:sz w:val="16"/>
              </w:rPr>
              <w:t>The assessment slide has been shown and the offline-test rule stated. It changes how students treat coursework from Week 2.</w:t>
            </w:r>
          </w:p>
        </w:tc>
      </w:tr>
    </w:tbl>
    <w:p>
      <w:pPr>
        <w:spacing w:after="160"/>
      </w:pPr>
    </w:p>
    <w:p>
      <w:pPr>
        <w:pStyle w:val="Heading2"/>
      </w:pPr>
      <w:r>
        <w:t>Standing operational facts for Semester 1</w:t>
      </w:r>
    </w:p>
    <w:p>
      <w:pPr>
        <w:spacing w:after="160" w:before="0" w:line="276" w:lineRule="auto"/>
      </w:pPr>
      <w:r>
        <w:rPr>
          <w:rFonts w:ascii="Calibri" w:hAnsi="Calibri"/>
          <w:b w:val="0"/>
          <w:i w:val="0"/>
          <w:sz w:val="21"/>
        </w:rPr>
        <w:t>Friday is a six-hour back-to-back day, 08:00 to 14:00, with a room change and no gap between CML3113 in Room 105 and CML3111 in Room 115. Prepare both Friday sessions as one preparation, since they share roughly seventy per cent of their content, and put the most demanding activity in the 08:00 slot. If a session has to shrink, shrink the 11:00 one.</w:t>
      </w:r>
    </w:p>
    <w:p>
      <w:pPr>
        <w:spacing w:after="160" w:before="0" w:line="276" w:lineRule="auto"/>
      </w:pPr>
      <w:r>
        <w:rPr>
          <w:rFonts w:ascii="Calibri" w:hAnsi="Calibri"/>
          <w:b w:val="0"/>
          <w:i w:val="0"/>
          <w:sz w:val="21"/>
        </w:rPr>
        <w:t>Friday 9 October 2026 is Independence Day and falls in Week 5, the pandas session. CML3112 meets normally on Tuesday 6 October, so teach Week 5 to that cohort and record it. The recording and the notebook go to CML3113 and CML3111 by Wednesday 7 October, with a 45-minute online clinic that week and a 30-minute consolidation opening Week 6. Arrange the recording before 6 October, because there is no second chance at it.</w:t>
      </w:r>
    </w:p>
    <w:p>
      <w:pPr>
        <w:spacing w:after="160"/>
      </w:pPr>
    </w:p>
    <w:tbl>
      <w:tblPr>
        <w:tblW w:type="auto" w:w="0"/>
        <w:jc w:val="center"/>
        <w:tblLayout w:type="fixed"/>
        <w:tblLook w:firstColumn="1" w:firstRow="1" w:lastColumn="0" w:lastRow="0" w:noHBand="0" w:noVBand="1" w:val="04A0"/>
        <w:tblBorders>
          <w:top w:val="single" w:sz="6" w:space="0" w:color="2E5C8A"/>
          <w:bottom w:val="single" w:sz="6" w:space="0" w:color="2E5C8A"/>
          <w:left w:val="single" w:sz="24" w:space="0" w:color="2E5C8A"/>
          <w:right w:val="single" w:sz="6" w:space="0" w:color="2E5C8A"/>
        </w:tblBorders>
      </w:tblPr>
      <w:tblGrid>
        <w:gridCol w:w="9972"/>
      </w:tblGrid>
      <w:tr>
        <w:tc>
          <w:tcPr>
            <w:tcW w:type="dxa" w:w="9972"/>
            <w:tcMar>
              <w:top w:w="110" w:type="dxa"/>
              <w:start w:w="170" w:type="dxa"/>
              <w:bottom w:w="110" w:type="dxa"/>
              <w:end w:w="140" w:type="dxa"/>
            </w:tcMar>
            <w:shd w:val="clear" w:color="auto" w:fill="D9E2F3"/>
          </w:tcPr>
          <w:p>
            <w:pPr>
              <w:spacing w:after="60"/>
            </w:pPr>
            <w:r>
              <w:rPr>
                <w:rFonts w:ascii="Calibri" w:hAnsi="Calibri"/>
                <w:b/>
                <w:color w:val="2E5C8A"/>
                <w:sz w:val="19"/>
              </w:rPr>
              <w:t>One thing to fix in the first week, not later</w:t>
            </w:r>
          </w:p>
          <w:p>
            <w:pPr>
              <w:spacing w:after="0" w:line="269" w:lineRule="auto"/>
            </w:pPr>
            <w:r>
              <w:rPr>
                <w:rFonts w:ascii="Calibri" w:hAnsi="Calibri"/>
                <w:sz w:val="20"/>
              </w:rPr>
              <w:t>Ask ICT in writing for the Room 106 access-point count and client capacity, and recruit six to eight floor helpers per cohort from among the students who get set up fastest. Both take a few minutes in Week 1 and both stop being possible once the hands-on weeks start.</w:t>
            </w:r>
          </w:p>
        </w:tc>
      </w:tr>
    </w:tbl>
    <w:p>
      <w:pPr>
        <w:spacing w:after="160"/>
      </w:pPr>
    </w:p>
    <w:p>
      <w:pPr>
        <w:spacing w:after="240"/>
      </w:pPr>
    </w:p>
    <w:p>
      <w:pPr>
        <w:spacing w:after="160" w:before="0" w:line="276" w:lineRule="auto"/>
        <w:jc w:val="center"/>
      </w:pPr>
      <w:r>
        <w:rPr>
          <w:rFonts w:ascii="Calibri" w:hAnsi="Calibri"/>
          <w:b w:val="0"/>
          <w:i/>
          <w:color w:val="595959"/>
          <w:sz w:val="17"/>
        </w:rPr>
        <w:t>Week 1 pre-flight checklist · generated 8 September 2026 · regenerate from build_preflight_docx.py after any change to the plan.</w:t>
      </w:r>
    </w:p>
    <w:sectPr w:rsidR="00FC693F" w:rsidRPr="0006063C" w:rsidSect="00034616">
      <w:headerReference w:type="default" r:id="rId9"/>
      <w:footerReference w:type="default" r:id="rId10"/>
      <w:pgSz w:w="12240" w:h="15840"/>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 xml:space="preserve">Page </w:t>
    </w:r>
    <w:r>
      <w:rPr>
        <w:rFonts w:ascii="Calibri" w:hAnsi="Calibri"/>
        <w:color w:val="595959"/>
        <w:sz w:val="16"/>
      </w:rPr>
      <w:fldChar w:fldCharType="begin"/>
      <w:instrText xml:space="preserve">PAGE</w:instrText>
      <w:fldChar w:fldCharType="end"/>
    </w:r>
    <w:r>
      <w:rPr>
        <w:rFonts w:ascii="Calibri" w:hAnsi="Calibri"/>
        <w:color w:val="595959"/>
        <w:sz w:val="16"/>
      </w:rPr>
      <w:t xml:space="preserve"> of </w:t>
    </w:r>
    <w:r>
      <w:rPr>
        <w:rFonts w:ascii="Calibri" w:hAnsi="Calibri"/>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8" w:color="B4C6E7"/>
      </w:pBdr>
    </w:pPr>
    <w:r/>
    <w:r>
      <w:rPr>
        <w:rFonts w:ascii="Calibri" w:hAnsi="Calibri"/>
        <w:color w:val="595959"/>
        <w:sz w:val="16"/>
      </w:rPr>
      <w:t>IUEA Faculty of Engineering · CML3111 / CML3112 / CML3113 · Week 1 pre-flight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