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color w:val="5A6674"/>
          <w:sz w:val="18"/>
          <w:szCs w:val="18"/>
        </w:rPr>
        <w:t xml:space="preserve">Holiday Data and AI Camp</w:t>
      </w:r>
    </w:p>
    <w:p>
      <w:pPr>
        <w:spacing w:after="120"/>
      </w:pPr>
      <w:r>
        <w:rPr>
          <w:rFonts w:ascii="Cambria" w:cs="Cambria" w:eastAsia="Cambria" w:hAnsi="Cambria"/>
          <w:b/>
          <w:bCs/>
          <w:color w:val="15293A"/>
          <w:sz w:val="52"/>
          <w:szCs w:val="52"/>
        </w:rPr>
        <w:t xml:space="preserve">A better structure for the Machine Learning and Python for Data Analysis tracks</w:t>
      </w:r>
    </w:p>
    <w:p>
      <w:pPr>
        <w:pBdr>
          <w:bottom w:val="single" w:color="BFC8D2" w:sz="4" w:space="8"/>
        </w:pBdr>
        <w:spacing w:after="240"/>
      </w:pPr>
      <w:r>
        <w:rPr>
          <w:rFonts w:ascii="Arial" w:cs="Arial" w:eastAsia="Arial" w:hAnsi="Arial"/>
          <w:color w:val="5A6674"/>
          <w:sz w:val="18"/>
          <w:szCs w:val="18"/>
        </w:rPr>
        <w:t xml:space="preserve">Revision 2, 31 October 2026. The camp pack has since been rebuilt to this structure; see the status note in section 9.</w:t>
      </w:r>
    </w:p>
    <w:p>
      <w:pPr>
        <w:spacing w:after="140" w:line="300"/>
      </w:pPr>
      <w:r>
        <w:rPr>
          <w:rFonts w:ascii="Arial" w:cs="Arial" w:eastAsia="Arial" w:hAnsi="Arial"/>
          <w:color w:val="38424F"/>
          <w:sz w:val="21"/>
          <w:szCs w:val="21"/>
        </w:rPr>
        <w:t xml:space="preserve">The camp runs for eight weeks, three sessions a week, 24 core sessions of three hours for each track, with four extra two-hour labs for Machine Learning. Those numbers appear on the flyers and in the fee, so this proposal leaves them alone. It changes what happens inside the 24 sessions: the order of topics, how many new ideas a session carries, how a lesson sheet is laid out, and which libraries students use.</w:t>
      </w:r>
    </w:p>
    <w:p>
      <w:pPr>
        <w:spacing w:after="140" w:line="300"/>
      </w:pPr>
      <w:r>
        <w:rPr>
          <w:rFonts w:ascii="Arial" w:cs="Arial" w:eastAsia="Arial" w:hAnsi="Arial"/>
          <w:color w:val="38424F"/>
          <w:sz w:val="21"/>
          <w:szCs w:val="21"/>
        </w:rPr>
        <w:t xml:space="preserve">Four decisions are settled. SQL is taught in the professional courses and is removed from the teenage camp. The Data Analysis track is renamed Python for Data Analysis. Both tracks use the standard Python data stack: NumPy, pandas, matplotlib and seaborn for analysis, scikit-learn for machine learning. A larger synthetic dataset, Sunrise Shops, replaces the 60-row table for most of the course.</w:t>
      </w:r>
    </w:p>
    <w:p>
      <w:pPr>
        <w:spacing w:after="140" w:line="300"/>
      </w:pPr>
      <w:r>
        <w:rPr>
          <w:rFonts w:ascii="Arial" w:cs="Arial" w:eastAsia="Arial" w:hAnsi="Arial"/>
          <w:color w:val="38424F"/>
          <w:sz w:val="21"/>
          <w:szCs w:val="21"/>
        </w:rPr>
        <w:t xml:space="preserve">I read the camp pack (curriculum, class plan, 48 student sheets and notebooks, 48 instructor guides, data, setup and decision files), the IUEA machine learning plan, the Data Analysis track and the Applied AI course, and searched published sources on teaching programming and data analysis to beginners. Section 2 explains how far those sources can be trusted.</w:t>
      </w:r>
    </w:p>
    <w:p>
      <w:pPr>
        <w:pStyle w:val="Heading1"/>
        <w:keepNext/>
        <w:pBdr>
          <w:bottom w:val="single" w:color="BFC8D2" w:sz="4" w:space="4"/>
        </w:pBdr>
        <w:spacing w:after="160" w:before="360"/>
      </w:pPr>
      <w:r>
        <w:rPr>
          <w:rFonts w:ascii="Cambria" w:cs="Cambria" w:eastAsia="Cambria" w:hAnsi="Cambria"/>
          <w:b/>
          <w:bCs/>
          <w:color w:val="15293A"/>
          <w:sz w:val="32"/>
          <w:szCs w:val="32"/>
        </w:rPr>
        <w:t xml:space="preserve">1. What the review found</w:t>
      </w:r>
    </w:p>
    <w:p>
      <w:pPr>
        <w:pStyle w:val="Heading2"/>
        <w:keepNext/>
        <w:spacing w:after="100" w:before="240"/>
      </w:pPr>
      <w:r>
        <w:rPr>
          <w:rFonts w:ascii="Cambria" w:cs="Cambria" w:eastAsia="Cambria" w:hAnsi="Cambria"/>
          <w:b/>
          <w:bCs/>
          <w:color w:val="15293A"/>
          <w:sz w:val="24"/>
          <w:szCs w:val="24"/>
        </w:rPr>
        <w:t xml:space="preserve">The two tracks share the same first eleven sessions</w:t>
      </w:r>
    </w:p>
    <w:p>
      <w:pPr>
        <w:spacing w:after="140" w:line="300"/>
      </w:pPr>
      <w:r>
        <w:rPr>
          <w:rFonts w:ascii="Arial" w:cs="Arial" w:eastAsia="Arial" w:hAnsi="Arial"/>
          <w:color w:val="38424F"/>
          <w:sz w:val="21"/>
          <w:szCs w:val="21"/>
        </w:rPr>
        <w:t xml:space="preserve">The “Understand the idea” text is word for word identical in ten sessions of both tracks (sessions 1 to 8, 10 and 11), and session 9 differs only by one added paragraph on proportions. A Data Analysis student spends eleven of 24 sessions on pages written for both tracks. From session 4 the tracks need their own sequences.</w:t>
      </w:r>
    </w:p>
    <w:p>
      <w:pPr>
        <w:pStyle w:val="Heading2"/>
        <w:keepNext/>
        <w:spacing w:after="100" w:before="240"/>
      </w:pPr>
      <w:r>
        <w:rPr>
          <w:rFonts w:ascii="Cambria" w:cs="Cambria" w:eastAsia="Cambria" w:hAnsi="Cambria"/>
          <w:b/>
          <w:bCs/>
          <w:color w:val="15293A"/>
          <w:sz w:val="24"/>
          <w:szCs w:val="24"/>
        </w:rPr>
        <w:t xml:space="preserve">Session 7 asks for about eighteen new words in one sitting</w:t>
      </w:r>
    </w:p>
    <w:p>
      <w:pPr>
        <w:spacing w:after="140" w:line="300"/>
      </w:pPr>
      <w:r>
        <w:rPr>
          <w:rFonts w:ascii="Arial" w:cs="Arial" w:eastAsia="Arial" w:hAnsi="Arial"/>
          <w:color w:val="38424F"/>
          <w:sz w:val="21"/>
          <w:szCs w:val="21"/>
        </w:rPr>
        <w:t xml:space="preserve">Session 7 (tables, files and importing a library) defines table, row, column, header, unit, CSV, library, import, pandas and pd, DataFrame, path, the dot, method, to_csv, read_csv, index=False, a named option and empty parentheses in 139 words and seven lines of code. The students wrote their first line of code six sessions earlier. Sessions 1 to 3 introduce between 61 and 89 words of definitions each, so the load more than doubles at the point where Python starts to look like the tools professionals use. Session 15 in the ML track is similar: train_test_split, random_state, test_size, mean absolute error, DummyRegressor with its strategy option, and the four-way unpacking of the split arrive together in 13 lines of code.</w:t>
      </w:r>
    </w:p>
    <w:p>
      <w:pPr>
        <w:pStyle w:val="Heading2"/>
        <w:keepNext/>
        <w:spacing w:after="100" w:before="240"/>
      </w:pPr>
      <w:r>
        <w:rPr>
          <w:rFonts w:ascii="Cambria" w:cs="Cambria" w:eastAsia="Cambria" w:hAnsi="Cambria"/>
          <w:b/>
          <w:bCs/>
          <w:color w:val="15293A"/>
          <w:sz w:val="24"/>
          <w:szCs w:val="24"/>
        </w:rPr>
        <w:t xml:space="preserve">The library stack is narrow</w:t>
      </w:r>
    </w:p>
    <w:p>
      <w:pPr>
        <w:spacing w:after="140" w:line="300"/>
      </w:pPr>
      <w:r>
        <w:rPr>
          <w:rFonts w:ascii="Arial" w:cs="Arial" w:eastAsia="Arial" w:hAnsi="Arial"/>
          <w:color w:val="38424F"/>
          <w:sz w:val="21"/>
          <w:szCs w:val="21"/>
        </w:rPr>
        <w:t xml:space="preserve">Across the lesson sheets, NumPy and seaborn appear nowhere, and TensorFlow and Keras appear nowhere. Means and medians are taught with the standard-library statistics module in session 9, which students will not meet again in professional work. pandas, matplotlib and scikit-learn are the only data libraries in use. Exploratory analysis, which is the centre of the Google Data Analytics workflow the camp cites as its benchmark, has no session of its own.</w:t>
      </w:r>
    </w:p>
    <w:p>
      <w:pPr>
        <w:pStyle w:val="Heading2"/>
        <w:keepNext/>
        <w:spacing w:after="100" w:before="240"/>
      </w:pPr>
      <w:r>
        <w:rPr>
          <w:rFonts w:ascii="Cambria" w:cs="Cambria" w:eastAsia="Cambria" w:hAnsi="Cambria"/>
          <w:b/>
          <w:bCs/>
          <w:color w:val="15293A"/>
          <w:sz w:val="24"/>
          <w:szCs w:val="24"/>
        </w:rPr>
        <w:t xml:space="preserve">The SQL block was the thinnest part, and is now out of scope</w:t>
      </w:r>
    </w:p>
    <w:p>
      <w:pPr>
        <w:spacing w:after="140" w:line="300"/>
      </w:pPr>
      <w:r>
        <w:rPr>
          <w:rFonts w:ascii="Arial" w:cs="Arial" w:eastAsia="Arial" w:hAnsi="Arial"/>
          <w:color w:val="38424F"/>
          <w:sz w:val="21"/>
          <w:szCs w:val="21"/>
        </w:rPr>
        <w:t xml:space="preserve">Sessions 13 to 17 are 15 hours of teaching time with one worked statement per sheet, 37 to 47 words of explanation, a separate tool (DB Browser for SQLite), and a 60-row, three-product dataset in which a GROUP BY returns three totals. With SQL moved to the professional courses, those five sessions and the SQL share of sessions 12 and 18 go to NumPy, exploratory analysis with seaborn, and merging tables in pandas. The SQLite database stays in the repository for the professional course.</w:t>
      </w:r>
    </w:p>
    <w:p>
      <w:pPr>
        <w:pStyle w:val="Heading2"/>
        <w:keepNext/>
        <w:spacing w:after="100" w:before="240"/>
      </w:pPr>
      <w:r>
        <w:rPr>
          <w:rFonts w:ascii="Cambria" w:cs="Cambria" w:eastAsia="Cambria" w:hAnsi="Cambria"/>
          <w:b/>
          <w:bCs/>
          <w:color w:val="15293A"/>
          <w:sz w:val="24"/>
          <w:szCs w:val="24"/>
        </w:rPr>
        <w:t xml:space="preserve">Machine Learning waits twelve sessions for its first prediction</w:t>
      </w:r>
    </w:p>
    <w:p>
      <w:pPr>
        <w:spacing w:after="140" w:line="300"/>
      </w:pPr>
      <w:r>
        <w:rPr>
          <w:rFonts w:ascii="Arial" w:cs="Arial" w:eastAsia="Arial" w:hAnsi="Arial"/>
          <w:color w:val="38424F"/>
          <w:sz w:val="21"/>
          <w:szCs w:val="21"/>
        </w:rPr>
        <w:t xml:space="preserve">The first model appears in session 13, at the start of week five. The first four weeks are Python and pandas preparation, supported by four labs. A fifteen-year-old who signed up for “machine learning” sees none for a month, and the sessions where it finally arrives (13 to 15) are the most crowded.</w:t>
      </w:r>
    </w:p>
    <w:p>
      <w:pPr>
        <w:pStyle w:val="Heading2"/>
        <w:keepNext/>
        <w:spacing w:after="100" w:before="240"/>
      </w:pPr>
      <w:r>
        <w:rPr>
          <w:rFonts w:ascii="Cambria" w:cs="Cambria" w:eastAsia="Cambria" w:hAnsi="Cambria"/>
          <w:b/>
          <w:bCs/>
          <w:color w:val="15293A"/>
          <w:sz w:val="24"/>
          <w:szCs w:val="24"/>
        </w:rPr>
        <w:t xml:space="preserve">Every sheet and every guide uses one template</w:t>
      </w:r>
    </w:p>
    <w:p>
      <w:pPr>
        <w:spacing w:after="140" w:line="300"/>
      </w:pPr>
      <w:r>
        <w:rPr>
          <w:rFonts w:ascii="Arial" w:cs="Arial" w:eastAsia="Arial" w:hAnsi="Arial"/>
          <w:color w:val="38424F"/>
          <w:sz w:val="21"/>
          <w:szCs w:val="21"/>
        </w:rPr>
        <w:t xml:space="preserve">All 48 instructor guides carry the same three “questions to ask” and the same nine-step 180-minute pacing, whether the session is “files and your first instruction” or “merging two tables”. Each student sheet repeats the same AI-policy and practice paragraphs. The sessions differ greatly in difficulty and the plan for them does not.</w:t>
      </w:r>
    </w:p>
    <w:p>
      <w:pPr>
        <w:pStyle w:val="Heading2"/>
        <w:keepNext/>
        <w:spacing w:after="100" w:before="240"/>
      </w:pPr>
      <w:r>
        <w:rPr>
          <w:rFonts w:ascii="Cambria" w:cs="Cambria" w:eastAsia="Cambria" w:hAnsi="Cambria"/>
          <w:b/>
          <w:bCs/>
          <w:color w:val="15293A"/>
          <w:sz w:val="24"/>
          <w:szCs w:val="24"/>
        </w:rPr>
        <w:t xml:space="preserve">The sibling programmes have supports the camp lacks</w:t>
      </w:r>
    </w:p>
    <w:p>
      <w:pPr>
        <w:spacing w:after="140" w:line="300"/>
      </w:pPr>
      <w:r>
        <w:rPr>
          <w:rFonts w:ascii="Arial" w:cs="Arial" w:eastAsia="Arial" w:hAnsi="Arial"/>
          <w:color w:val="38424F"/>
          <w:sz w:val="21"/>
          <w:szCs w:val="21"/>
        </w:rPr>
        <w:t xml:space="preserve">The professional Data Analysis track gives every session a vocabulary list of at most ten terms, each with a plain definition and the spreadsheet equivalent, collects them into a 92-term glossary, uses 12 explainer figures, and runs on a generated multi-table dataset with an answer key. The IUEA plan has a prerequisite map that says what must be taught before each topic, and decks with presenter notes. The Applied AI course lists misconceptions, expected answers and recovery routes for each session. The camp pack states that it is lesson sheets and notebooks and not a slide course, and it has no glossary, no figures and one tiny dataset.</w:t>
      </w:r>
    </w:p>
    <w:p>
      <w:pPr>
        <w:pStyle w:val="Heading2"/>
        <w:keepNext/>
        <w:spacing w:after="100" w:before="240"/>
      </w:pPr>
      <w:r>
        <w:rPr>
          <w:rFonts w:ascii="Cambria" w:cs="Cambria" w:eastAsia="Cambria" w:hAnsi="Cambria"/>
          <w:b/>
          <w:bCs/>
          <w:color w:val="15293A"/>
          <w:sz w:val="24"/>
          <w:szCs w:val="24"/>
        </w:rPr>
        <w:t xml:space="preserve">What already works and stays</w:t>
      </w:r>
    </w:p>
    <w:p>
      <w:pPr>
        <w:spacing w:after="140" w:line="300"/>
      </w:pPr>
      <w:r>
        <w:rPr>
          <w:rFonts w:ascii="Arial" w:cs="Arial" w:eastAsia="Arial" w:hAnsi="Arial"/>
          <w:color w:val="38424F"/>
          <w:sz w:val="21"/>
          <w:szCs w:val="21"/>
        </w:rPr>
        <w:t xml:space="preserve">The predict-before-running routine, the repair cue on every sheet, individual evidence from each of five students, the unaided final demonstration, plainly labelled synthetic data, a pinned tested environment, and the executed-example verification recorded in verification.json. The policy documents on AI use and assessment need no structural change.</w:t>
      </w:r>
    </w:p>
    <w:p>
      <w:pPr>
        <w:pStyle w:val="Heading1"/>
        <w:keepNext/>
        <w:pBdr>
          <w:bottom w:val="single" w:color="BFC8D2" w:sz="4" w:space="4"/>
        </w:pBdr>
        <w:spacing w:after="160" w:before="360"/>
      </w:pPr>
      <w:r>
        <w:rPr>
          <w:rFonts w:ascii="Cambria" w:cs="Cambria" w:eastAsia="Cambria" w:hAnsi="Cambria"/>
          <w:b/>
          <w:bCs/>
          <w:color w:val="15293A"/>
          <w:sz w:val="32"/>
          <w:szCs w:val="32"/>
        </w:rPr>
        <w:t xml:space="preserve">2. What the benchmarks say</w:t>
      </w:r>
    </w:p>
    <w:p>
      <w:pPr>
        <w:spacing w:after="140" w:line="300"/>
      </w:pPr>
      <w:r>
        <w:rPr>
          <w:rFonts w:ascii="Arial" w:cs="Arial" w:eastAsia="Arial" w:hAnsi="Arial"/>
          <w:color w:val="38424F"/>
          <w:sz w:val="21"/>
          <w:szCs w:val="21"/>
        </w:rPr>
        <w:t xml:space="preserve">The network tool in this session could not open any web page. Every item below comes from search-result summaries, with the URL the search returned. Figures are as the summary reported them and should be checked at the source before they appear in anything a parent reads. No source gave a number for teenage attention span or concepts per hour, so the word budget in section 3 is a design rule of mine and carries no citation.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906"/>
      </w:tblGrid>
      <w:tr>
        <w:trPr>
          <w:cantSplit/>
          <w:tblHeader/>
        </w:trPr>
        <w:tc>
          <w:tcPr>
            <w:tcW w:type="dxa" w:w="22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b/>
                <w:bCs/>
                <w:color w:val="131B26"/>
                <w:sz w:val="18"/>
                <w:szCs w:val="18"/>
              </w:rPr>
              <w:t xml:space="preserve">Source</w:t>
            </w:r>
          </w:p>
        </w:tc>
        <w:tc>
          <w:tcPr>
            <w:tcW w:type="dxa" w:w="44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b/>
                <w:bCs/>
                <w:color w:val="131B26"/>
                <w:sz w:val="18"/>
                <w:szCs w:val="18"/>
              </w:rPr>
              <w:t xml:space="preserve">What the summary reports</w:t>
            </w:r>
          </w:p>
        </w:tc>
        <w:tc>
          <w:tcPr>
            <w:tcW w:type="dxa" w:w="29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b/>
                <w:bCs/>
                <w:color w:val="131B26"/>
                <w:sz w:val="18"/>
                <w:szCs w:val="18"/>
              </w:rPr>
              <w:t xml:space="preserve">Used for</w:t>
            </w:r>
          </w:p>
        </w:tc>
      </w:tr>
      <w:tr>
        <w:trPr>
          <w:cantSplit/>
        </w:trPr>
        <w:tc>
          <w:tcPr>
            <w:tcW w:type="dxa" w:w="22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color w:val="38424F"/>
                <w:sz w:val="18"/>
                <w:szCs w:val="18"/>
              </w:rPr>
              <w:t xml:space="preserve">PRIMM, Sentance, Waite and Kallia 2019 (computingeducationresearch.org/projects/primm)</w:t>
            </w:r>
          </w:p>
        </w:tc>
        <w:tc>
          <w:tcPr>
            <w:tcW w:type="dxa" w:w="44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color w:val="38424F"/>
                <w:sz w:val="18"/>
                <w:szCs w:val="18"/>
              </w:rPr>
              <w:t xml:space="preserve">Predict, Run, Investigate, Modify, Make. A quasi-experiment compared 493 PRIMM students with 180 others and reported a post-test advantage (p&lt;.05) from equal pre-test scores. Teachers found Predict hard and lower-attaining learners often did not reach Make.</w:t>
            </w:r>
          </w:p>
        </w:tc>
        <w:tc>
          <w:tcPr>
            <w:tcW w:type="dxa" w:w="29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color w:val="38424F"/>
                <w:sz w:val="18"/>
                <w:szCs w:val="18"/>
              </w:rPr>
              <w:t xml:space="preserve">The session spine. Most of the clock goes to the first four stages and Make is the stretch.</w:t>
            </w:r>
          </w:p>
        </w:tc>
      </w:tr>
      <w:tr>
        <w:trPr>
          <w:cantSplit/>
        </w:trPr>
        <w:tc>
          <w:tcPr>
            <w:tcW w:type="dxa" w:w="22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color w:val="38424F"/>
                <w:sz w:val="18"/>
                <w:szCs w:val="18"/>
              </w:rPr>
              <w:t xml:space="preserve">Margulieux, Catrambone and Guzdial 2016</w:t>
            </w:r>
          </w:p>
        </w:tc>
        <w:tc>
          <w:tcPr>
            <w:tcW w:type="dxa" w:w="44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color w:val="38424F"/>
                <w:sz w:val="18"/>
                <w:szCs w:val="18"/>
              </w:rPr>
              <w:t xml:space="preserve">Worked examples with named subgoals improved performance on new problems by about 8% at no extra study time. A later 265-student course found fewer withdrawals and failures.</w:t>
            </w:r>
          </w:p>
        </w:tc>
        <w:tc>
          <w:tcPr>
            <w:tcW w:type="dxa" w:w="29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color w:val="38424F"/>
                <w:sz w:val="18"/>
                <w:szCs w:val="18"/>
              </w:rPr>
              <w:t xml:space="preserve">Three to five named steps in every worked example.</w:t>
            </w:r>
          </w:p>
        </w:tc>
      </w:tr>
      <w:tr>
        <w:trPr>
          <w:cantSplit/>
        </w:trPr>
        <w:tc>
          <w:tcPr>
            <w:tcW w:type="dxa" w:w="22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Ericson et al., Parsons problems (CHI 2021, Koli Calling 2017)</w:t>
            </w:r>
          </w:p>
        </w:tc>
        <w:tc>
          <w:tcPr>
            <w:tcW w:type="dxa" w:w="44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Putting given lines in order gave similar learning in less time than writing or fixing code. Undergraduate participants. About 30% of students preferred to write the code.</w:t>
            </w:r>
          </w:p>
        </w:tc>
        <w:tc>
          <w:tcPr>
            <w:tcW w:type="dxa" w:w="29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A short ordering exercise as a warm-up in weeks 1 to 3. Not for whole sessions.</w:t>
            </w:r>
          </w:p>
        </w:tc>
      </w:tr>
      <w:tr>
        <w:trPr>
          <w:cantSplit/>
        </w:trPr>
        <w:tc>
          <w:tcPr>
            <w:tcW w:type="dxa" w:w="22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Kaggle Learn, Pandas</w:t>
            </w:r>
          </w:p>
        </w:tc>
        <w:tc>
          <w:tcPr>
            <w:tcW w:type="dxa" w:w="44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Six lessons, each a tutorial and an exercise, with an estimated four hours in total.</w:t>
            </w:r>
          </w:p>
        </w:tc>
        <w:tc>
          <w:tcPr>
            <w:tcW w:type="dxa" w:w="29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Three pandas sessions (7 to 9) with extra support is a realistic budget for teenagers.</w:t>
            </w:r>
          </w:p>
        </w:tc>
      </w:tr>
      <w:tr>
        <w:trPr>
          <w:cantSplit/>
        </w:trPr>
        <w:tc>
          <w:tcPr>
            <w:tcW w:type="dxa" w:w="22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seaborn documentation (seaborn.pydata.org)</w:t>
            </w:r>
          </w:p>
        </w:tc>
        <w:tc>
          <w:tcPr>
            <w:tcW w:type="dxa" w:w="44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A library for statistical graphics that builds on matplotlib and works directly with pandas DataFrames. Version 0.13 depends on matplotlib, pandas and NumPy.</w:t>
            </w:r>
          </w:p>
        </w:tc>
        <w:tc>
          <w:tcPr>
            <w:tcW w:type="dxa" w:w="29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Exploratory plots after the matplotlib basics. Its dependencies are already in the camp stack.</w:t>
            </w:r>
          </w:p>
        </w:tc>
      </w:tr>
      <w:tr>
        <w:trPr>
          <w:cantSplit/>
        </w:trPr>
        <w:tc>
          <w:tcPr>
            <w:tcW w:type="dxa" w:w="22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Google Data Analytics certificate (grow.google)</w:t>
            </w:r>
          </w:p>
        </w:tc>
        <w:tc>
          <w:tcPr>
            <w:tcW w:type="dxa" w:w="44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Sequence of ask, prepare, process, analyse, share, then a capstone. Lists Python among its tools.</w:t>
            </w:r>
          </w:p>
        </w:tc>
        <w:tc>
          <w:tcPr>
            <w:tcW w:type="dxa" w:w="29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The order of the camp year: question, clean, explore, communicate.</w:t>
            </w:r>
          </w:p>
        </w:tc>
      </w:tr>
      <w:tr>
        <w:trPr>
          <w:cantSplit/>
        </w:trPr>
        <w:tc>
          <w:tcPr>
            <w:tcW w:type="dxa" w:w="22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TensorFlow install page (tensorflow.org/install/pip)</w:t>
            </w:r>
          </w:p>
        </w:tc>
        <w:tc>
          <w:tcPr>
            <w:tcW w:type="dxa" w:w="44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Release 2.21 lists Python 3.10 to 3.13 wheels. Other pages in the same results still say 3.9 to 3.11 or 3.9 to 3.12, so sources conflict.</w:t>
            </w:r>
          </w:p>
        </w:tc>
        <w:tc>
          <w:tcPr>
            <w:tcW w:type="dxa" w:w="29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TensorFlow is limited to the instructor laptop and must be preflighted first.</w:t>
            </w:r>
          </w:p>
        </w:tc>
      </w:tr>
      <w:tr>
        <w:trPr>
          <w:cantSplit/>
        </w:trPr>
        <w:tc>
          <w:tcPr>
            <w:tcW w:type="dxa" w:w="22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Becker, enhanced error messages</w:t>
            </w:r>
          </w:p>
        </w:tc>
        <w:tc>
          <w:tcPr>
            <w:tcW w:type="dxa" w:w="44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Mixed results across studies; one cohort showed fewer repeated errors.</w:t>
            </w:r>
          </w:p>
        </w:tc>
        <w:tc>
          <w:tcPr>
            <w:tcW w:type="dxa" w:w="29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A routine for reading errors and a class error glossary. Friendlier messages are not relied on.</w:t>
            </w:r>
          </w:p>
        </w:tc>
      </w:tr>
      <w:tr>
        <w:trPr>
          <w:cantSplit/>
        </w:trPr>
        <w:tc>
          <w:tcPr>
            <w:tcW w:type="dxa" w:w="22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Bootstrap:Data Science</w:t>
            </w:r>
          </w:p>
        </w:tc>
        <w:tc>
          <w:tcPr>
            <w:tcW w:type="dxa" w:w="44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Four mini-projects, each designed for two to five class periods; a one-to-four-week version exists.</w:t>
            </w:r>
          </w:p>
        </w:tc>
        <w:tc>
          <w:tcPr>
            <w:tcW w:type="dxa" w:w="29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Small projects each week.</w:t>
            </w:r>
          </w:p>
        </w:tc>
      </w:tr>
    </w:tbl>
    <w:p>
      <w:pPr>
        <w:spacing w:after="160"/>
      </w:pPr>
    </w:p>
    <w:p>
      <w:pPr>
        <w:pStyle w:val="Heading1"/>
        <w:keepNext/>
        <w:pBdr>
          <w:bottom w:val="single" w:color="BFC8D2" w:sz="4" w:space="4"/>
        </w:pBdr>
        <w:spacing w:after="160" w:before="360"/>
      </w:pPr>
      <w:r>
        <w:rPr>
          <w:rFonts w:ascii="Cambria" w:cs="Cambria" w:eastAsia="Cambria" w:hAnsi="Cambria"/>
          <w:b/>
          <w:bCs/>
          <w:color w:val="15293A"/>
          <w:sz w:val="32"/>
          <w:szCs w:val="32"/>
        </w:rPr>
        <w:t xml:space="preserve">3. Design rules for both tracks</w:t>
      </w:r>
    </w:p>
    <w:p>
      <w:pPr>
        <w:spacing w:after="140" w:line="300"/>
      </w:pPr>
      <w:r>
        <w:rPr>
          <w:rFonts w:ascii="Arial" w:cs="Arial" w:eastAsia="Arial" w:hAnsi="Arial"/>
          <w:color w:val="38424F"/>
          <w:sz w:val="21"/>
          <w:szCs w:val="21"/>
        </w:rPr>
        <w:t xml:space="preserve">These nine rules apply to every session and replace the single template. Each is checkable on a sheet before it is printed.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00"/>
        <w:gridCol w:w="7206"/>
      </w:tblGrid>
      <w:tr>
        <w:trPr>
          <w:cantSplit/>
          <w:tblHeader/>
        </w:trPr>
        <w:tc>
          <w:tcPr>
            <w:tcW w:type="dxa" w:w="23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b/>
                <w:bCs/>
                <w:color w:val="131B26"/>
                <w:sz w:val="18"/>
                <w:szCs w:val="18"/>
              </w:rPr>
              <w:t xml:space="preserve">Rule</w:t>
            </w:r>
          </w:p>
        </w:tc>
        <w:tc>
          <w:tcPr>
            <w:tcW w:type="dxa" w:w="72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b/>
                <w:bCs/>
                <w:color w:val="131B26"/>
                <w:sz w:val="18"/>
                <w:szCs w:val="18"/>
              </w:rPr>
              <w:t xml:space="preserve">What it means on the sheet</w:t>
            </w:r>
          </w:p>
        </w:tc>
      </w:tr>
      <w:tr>
        <w:trPr>
          <w:cantSplit/>
        </w:trPr>
        <w:tc>
          <w:tcPr>
            <w:tcW w:type="dxa" w:w="23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color w:val="38424F"/>
                <w:sz w:val="18"/>
                <w:szCs w:val="18"/>
              </w:rPr>
              <w:t xml:space="preserve">One question a day</w:t>
            </w:r>
          </w:p>
        </w:tc>
        <w:tc>
          <w:tcPr>
            <w:tcW w:type="dxa" w:w="72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color w:val="38424F"/>
                <w:sz w:val="18"/>
                <w:szCs w:val="18"/>
              </w:rPr>
              <w:t xml:space="preserve">The top of the sheet states one question about the data or the model. The last 20 minutes answer it. “Which item earns the most?” is a question. “Grouping and totals” is a topic.</w:t>
            </w:r>
          </w:p>
        </w:tc>
      </w:tr>
      <w:tr>
        <w:trPr>
          <w:cantSplit/>
        </w:trPr>
        <w:tc>
          <w:tcPr>
            <w:tcW w:type="dxa" w:w="23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color w:val="38424F"/>
                <w:sz w:val="18"/>
                <w:szCs w:val="18"/>
              </w:rPr>
              <w:t xml:space="preserve">Six new words at most</w:t>
            </w:r>
          </w:p>
        </w:tc>
        <w:tc>
          <w:tcPr>
            <w:tcW w:type="dxa" w:w="72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color w:val="38424F"/>
                <w:sz w:val="18"/>
                <w:szCs w:val="18"/>
              </w:rPr>
              <w:t xml:space="preserve">A “Words for today” card lists at most six terms, each with a plain definition and an everyday comparison. A term appears in an example before its definition is read out. The glossary is generated from these cards so a term cannot be taught without reaching the handout.</w:t>
            </w:r>
          </w:p>
        </w:tc>
      </w:tr>
      <w:tr>
        <w:trPr>
          <w:cantSplit/>
        </w:trPr>
        <w:tc>
          <w:tcPr>
            <w:tcW w:type="dxa" w:w="23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Predict, Run, Investigate, Modify, Make</w:t>
            </w:r>
          </w:p>
        </w:tc>
        <w:tc>
          <w:tcPr>
            <w:tcW w:type="dxa" w:w="72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Each of the two blocks in a session follows this order for one idea. Predict is a written guess before anything runs. Investigate is two or three questions about the output. Modify changes one value. Make is the independent task.</w:t>
            </w:r>
          </w:p>
        </w:tc>
      </w:tr>
      <w:tr>
        <w:trPr>
          <w:cantSplit/>
        </w:trPr>
        <w:tc>
          <w:tcPr>
            <w:tcW w:type="dxa" w:w="23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A clock that fits the content</w:t>
            </w:r>
          </w:p>
        </w:tc>
        <w:tc>
          <w:tcPr>
            <w:tcW w:type="dxa" w:w="72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Default: 10 minutes recall, 50 block A, 15 break, 50 block B, 40 Make and project journal, 15 exit ticket and save, 180 in all. The guide for each session states where it departs from the default, and why.</w:t>
            </w:r>
          </w:p>
        </w:tc>
      </w:tr>
      <w:tr>
        <w:trPr>
          <w:cantSplit/>
        </w:trPr>
        <w:tc>
          <w:tcPr>
            <w:tcW w:type="dxa" w:w="23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Check twice</w:t>
            </w:r>
          </w:p>
        </w:tc>
        <w:tc>
          <w:tcPr>
            <w:tcW w:type="dxa" w:w="72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Every answer is first worked by hand on the 60-row shop table or a five-row extract, then by code. From week 5 a second route confirms the first (a pandas total against a NumPy total, a merged total against the unmerged one).</w:t>
            </w:r>
          </w:p>
        </w:tc>
      </w:tr>
      <w:tr>
        <w:trPr>
          <w:cantSplit/>
        </w:trPr>
        <w:tc>
          <w:tcPr>
            <w:tcW w:type="dxa" w:w="23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An error card</w:t>
            </w:r>
          </w:p>
        </w:tc>
        <w:tc>
          <w:tcPr>
            <w:tcW w:type="dxa" w:w="72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The two errors most likely in that session, in plain words, with the fix. Students add the errors they meet to a class error glossary. The existing “read the last line first” routine stays.</w:t>
            </w:r>
          </w:p>
        </w:tc>
      </w:tr>
      <w:tr>
        <w:trPr>
          <w:cantSplit/>
        </w:trPr>
        <w:tc>
          <w:tcPr>
            <w:tcW w:type="dxa" w:w="23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Faded scaffolding</w:t>
            </w:r>
          </w:p>
        </w:tc>
        <w:tc>
          <w:tcPr>
            <w:tcW w:type="dxa" w:w="72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Weeks 1 to 3: fill-in-the-blank examples and a short ordering exercise. Weeks 4 to 6: named steps with the code left to the student. Weeks 7 and 8: open work.</w:t>
            </w:r>
          </w:p>
        </w:tc>
      </w:tr>
      <w:tr>
        <w:trPr>
          <w:cantSplit/>
        </w:trPr>
        <w:tc>
          <w:tcPr>
            <w:tcW w:type="dxa" w:w="23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A weekly product</w:t>
            </w:r>
          </w:p>
        </w:tc>
        <w:tc>
          <w:tcPr>
            <w:tcW w:type="dxa" w:w="72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Every week ends with something saved and shown: a first table read, the first grouped total, a cleaned table, a chart, a project plan. The weekly practice portfolios already in the assessment are marked on these.</w:t>
            </w:r>
          </w:p>
        </w:tc>
      </w:tr>
      <w:tr>
        <w:trPr>
          <w:cantSplit/>
        </w:trPr>
        <w:tc>
          <w:tcPr>
            <w:tcW w:type="dxa" w:w="23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Hand-checkable data first</w:t>
            </w:r>
          </w:p>
        </w:tc>
        <w:tc>
          <w:tcPr>
            <w:tcW w:type="dxa" w:w="72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The 60-row shop table stays for weeks 1 to 3 so every answer can be checked by hand. Larger data comes only after the idea is secure.</w:t>
            </w:r>
          </w:p>
        </w:tc>
      </w:tr>
    </w:tbl>
    <w:p>
      <w:pPr>
        <w:spacing w:after="160"/>
      </w:pPr>
    </w:p>
    <w:p>
      <w:pPr>
        <w:pStyle w:val="Heading1"/>
        <w:keepNext/>
        <w:pBdr>
          <w:bottom w:val="single" w:color="BFC8D2" w:sz="4" w:space="4"/>
        </w:pBdr>
        <w:spacing w:after="160" w:before="360"/>
      </w:pPr>
      <w:r>
        <w:rPr>
          <w:rFonts w:ascii="Cambria" w:cs="Cambria" w:eastAsia="Cambria" w:hAnsi="Cambria"/>
          <w:b/>
          <w:bCs/>
          <w:color w:val="15293A"/>
          <w:sz w:val="32"/>
          <w:szCs w:val="32"/>
        </w:rPr>
        <w:t xml:space="preserve">4. Python for Data Analysis</w:t>
      </w:r>
    </w:p>
    <w:p>
      <w:pPr>
        <w:pStyle w:val="Heading2"/>
        <w:keepNext/>
        <w:spacing w:after="100" w:before="240"/>
      </w:pPr>
      <w:r>
        <w:rPr>
          <w:rFonts w:ascii="Cambria" w:cs="Cambria" w:eastAsia="Cambria" w:hAnsi="Cambria"/>
          <w:b/>
          <w:bCs/>
          <w:color w:val="15293A"/>
          <w:sz w:val="24"/>
          <w:szCs w:val="24"/>
        </w:rPr>
        <w:t xml:space="preserve">The arc</w:t>
      </w:r>
    </w:p>
    <w:p>
      <w:pPr>
        <w:spacing w:after="140" w:line="300"/>
      </w:pPr>
      <w:r>
        <w:rPr>
          <w:rFonts w:ascii="Arial" w:cs="Arial" w:eastAsia="Arial" w:hAnsi="Arial"/>
          <w:color w:val="38424F"/>
          <w:sz w:val="21"/>
          <w:szCs w:val="21"/>
        </w:rPr>
        <w:t xml:space="preserve">The track follows the workflow the camp already cites: ask a question, read the data, clean it, explore it, communicate it, then do it again on a project. Weeks 1 and 2 keep the Python foundations in their current order, because decisions, collections and functions are what make pandas readable. Week 3 is pandas. Week 4 cleans and charts, ending at checkpoint one. Week 5 is new: NumPy for the numbers beneath pandas, then two sessions of exploratory analysis with seaborn. Week 6 returns to messy data, merges two tables and ends at checkpoint two.</w:t>
      </w:r>
    </w:p>
    <w:p>
      <w:pPr>
        <w:spacing w:after="140" w:line="300"/>
      </w:pPr>
      <w:r>
        <w:rPr>
          <w:rFonts w:ascii="Arial" w:cs="Arial" w:eastAsia="Arial" w:hAnsi="Arial"/>
          <w:color w:val="38424F"/>
          <w:sz w:val="21"/>
          <w:szCs w:val="21"/>
        </w:rPr>
        <w:t xml:space="preserve">Checkpoint one stays at session 12 and checkpoint two at session 18, so the assessment weights and the completion rule do not change. Checkpoint two’s 20 raw marks need re-spreading because five of them were SQL: filtering and grouping 5, merge and key checks 4, missing-value and count checks 3, agreement between two routes with the residual named 4, saved notebook and explanation 4.</w:t>
      </w:r>
    </w:p>
    <w:p>
      <w:pPr>
        <w:pStyle w:val="Heading2"/>
        <w:keepNext/>
        <w:spacing w:after="100" w:before="240"/>
      </w:pPr>
      <w:r>
        <w:rPr>
          <w:rFonts w:ascii="Cambria" w:cs="Cambria" w:eastAsia="Cambria" w:hAnsi="Cambria"/>
          <w:b/>
          <w:bCs/>
          <w:color w:val="15293A"/>
          <w:sz w:val="24"/>
          <w:szCs w:val="24"/>
        </w:rPr>
        <w:t xml:space="preserve">Session map</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20"/>
        <w:gridCol w:w="3780"/>
        <w:gridCol w:w="1400"/>
        <w:gridCol w:w="3806"/>
      </w:tblGrid>
      <w:tr>
        <w:trPr>
          <w:cantSplit/>
          <w:tblHeader/>
        </w:trPr>
        <w:tc>
          <w:tcPr>
            <w:tcW w:type="dxa" w:w="52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b/>
                <w:bCs/>
                <w:color w:val="131B26"/>
                <w:sz w:val="18"/>
                <w:szCs w:val="18"/>
              </w:rPr>
              <w:t xml:space="preserve">#</w:t>
            </w:r>
          </w:p>
        </w:tc>
        <w:tc>
          <w:tcPr>
            <w:tcW w:type="dxa" w:w="378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b/>
                <w:bCs/>
                <w:color w:val="131B26"/>
                <w:sz w:val="18"/>
                <w:szCs w:val="18"/>
              </w:rPr>
              <w:t xml:space="preserve">Session</w:t>
            </w:r>
          </w:p>
        </w:tc>
        <w:tc>
          <w:tcPr>
            <w:tcW w:type="dxa" w:w="14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b/>
                <w:bCs/>
                <w:color w:val="131B26"/>
                <w:sz w:val="18"/>
                <w:szCs w:val="18"/>
              </w:rPr>
              <w:t xml:space="preserve">Library</w:t>
            </w:r>
          </w:p>
        </w:tc>
        <w:tc>
          <w:tcPr>
            <w:tcW w:type="dxa" w:w="38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b/>
                <w:bCs/>
                <w:color w:val="131B26"/>
                <w:sz w:val="18"/>
                <w:szCs w:val="18"/>
              </w:rPr>
              <w:t xml:space="preserve">What the student saves</w:t>
            </w:r>
          </w:p>
        </w:tc>
      </w:tr>
      <w:tr>
        <w:trPr>
          <w:cantSplit/>
        </w:trPr>
        <w:tc>
          <w:tcPr>
            <w:tcW w:type="dxa" w:w="52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p>
        </w:tc>
        <w:tc>
          <w:tcPr>
            <w:tcW w:type="dxa" w:w="378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b/>
                <w:bCs/>
                <w:color w:val="131B26"/>
                <w:sz w:val="18"/>
                <w:szCs w:val="18"/>
              </w:rPr>
              <w:t xml:space="preserve">Week 1. Meet the data</w:t>
            </w:r>
          </w:p>
        </w:tc>
        <w:tc>
          <w:tcPr>
            <w:tcW w:type="dxa" w:w="14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p>
        </w:tc>
        <w:tc>
          <w:tcPr>
            <w:tcW w:type="dxa" w:w="38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p>
        </w:tc>
      </w:tr>
      <w:tr>
        <w:trPr>
          <w:cantSplit/>
        </w:trPr>
        <w:tc>
          <w:tcPr>
            <w:tcW w:type="dxa" w:w="52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color w:val="38424F"/>
                <w:sz w:val="18"/>
                <w:szCs w:val="18"/>
              </w:rPr>
              <w:t xml:space="preserve">1</w:t>
            </w:r>
          </w:p>
        </w:tc>
        <w:tc>
          <w:tcPr>
            <w:tcW w:type="dxa" w:w="378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color w:val="38424F"/>
                <w:sz w:val="18"/>
                <w:szCs w:val="18"/>
              </w:rPr>
              <w:t xml:space="preserve">Open a notebook and read your first table</w:t>
            </w:r>
          </w:p>
        </w:tc>
        <w:tc>
          <w:tcPr>
            <w:tcW w:type="dxa" w:w="14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color w:val="38424F"/>
                <w:sz w:val="18"/>
                <w:szCs w:val="18"/>
              </w:rPr>
              <w:t xml:space="preserve">pandas</w:t>
            </w:r>
          </w:p>
        </w:tc>
        <w:tc>
          <w:tcPr>
            <w:tcW w:type="dxa" w:w="38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color w:val="38424F"/>
                <w:sz w:val="18"/>
                <w:szCs w:val="18"/>
              </w:rPr>
              <w:t xml:space="preserve">A notebook that shows the first five shop sales</w:t>
            </w:r>
          </w:p>
        </w:tc>
      </w:tr>
      <w:tr>
        <w:trPr>
          <w:cantSplit/>
        </w:trPr>
        <w:tc>
          <w:tcPr>
            <w:tcW w:type="dxa" w:w="52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2</w:t>
            </w:r>
          </w:p>
        </w:tc>
        <w:tc>
          <w:tcPr>
            <w:tcW w:type="dxa" w:w="378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Values, names and types</w:t>
            </w:r>
          </w:p>
        </w:tc>
        <w:tc>
          <w:tcPr>
            <w:tcW w:type="dxa" w:w="14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p>
        </w:tc>
        <w:tc>
          <w:tcPr>
            <w:tcW w:type="dxa" w:w="38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Price, units and total for one sale, with a note on why "2500.5" is text</w:t>
            </w:r>
          </w:p>
        </w:tc>
      </w:tr>
      <w:tr>
        <w:trPr>
          <w:cantSplit/>
        </w:trPr>
        <w:tc>
          <w:tcPr>
            <w:tcW w:type="dxa" w:w="52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3</w:t>
            </w:r>
          </w:p>
        </w:tc>
        <w:tc>
          <w:tcPr>
            <w:tcW w:type="dxa" w:w="378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Arithmetic, revenue and reading errors</w:t>
            </w:r>
          </w:p>
        </w:tc>
        <w:tc>
          <w:tcPr>
            <w:tcW w:type="dxa" w:w="14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p>
        </w:tc>
        <w:tc>
          <w:tcPr>
            <w:tcW w:type="dxa" w:w="38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Revenue for ten sales checked by hand, plus an error log</w:t>
            </w:r>
          </w:p>
        </w:tc>
      </w:tr>
      <w:tr>
        <w:trPr>
          <w:cantSplit/>
        </w:trPr>
        <w:tc>
          <w:tcPr>
            <w:tcW w:type="dxa" w:w="52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p>
        </w:tc>
        <w:tc>
          <w:tcPr>
            <w:tcW w:type="dxa" w:w="378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b/>
                <w:bCs/>
                <w:color w:val="131B26"/>
                <w:sz w:val="18"/>
                <w:szCs w:val="18"/>
              </w:rPr>
              <w:t xml:space="preserve">Week 2. Python you need</w:t>
            </w:r>
          </w:p>
        </w:tc>
        <w:tc>
          <w:tcPr>
            <w:tcW w:type="dxa" w:w="14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p>
        </w:tc>
        <w:tc>
          <w:tcPr>
            <w:tcW w:type="dxa" w:w="38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p>
        </w:tc>
      </w:tr>
      <w:tr>
        <w:trPr>
          <w:cantSplit/>
        </w:trPr>
        <w:tc>
          <w:tcPr>
            <w:tcW w:type="dxa" w:w="52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4</w:t>
            </w:r>
          </w:p>
        </w:tc>
        <w:tc>
          <w:tcPr>
            <w:tcW w:type="dxa" w:w="378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Conditions and decisions</w:t>
            </w:r>
          </w:p>
        </w:tc>
        <w:tc>
          <w:tcPr>
            <w:tcW w:type="dxa" w:w="14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p>
        </w:tc>
        <w:tc>
          <w:tcPr>
            <w:tcW w:type="dxa" w:w="38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A decision tested at 4999, 5000 and 5001</w:t>
            </w:r>
          </w:p>
        </w:tc>
      </w:tr>
      <w:tr>
        <w:trPr>
          <w:cantSplit/>
        </w:trPr>
        <w:tc>
          <w:tcPr>
            <w:tcW w:type="dxa" w:w="52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5</w:t>
            </w:r>
          </w:p>
        </w:tc>
        <w:tc>
          <w:tcPr>
            <w:tcW w:type="dxa" w:w="378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Lists, dictionaries and loops</w:t>
            </w:r>
          </w:p>
        </w:tc>
        <w:tc>
          <w:tcPr>
            <w:tcW w:type="dxa" w:w="14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p>
        </w:tc>
        <w:tc>
          <w:tcPr>
            <w:tcW w:type="dxa" w:w="38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A loop that prints a total for each item</w:t>
            </w:r>
          </w:p>
        </w:tc>
      </w:tr>
      <w:tr>
        <w:trPr>
          <w:cantSplit/>
        </w:trPr>
        <w:tc>
          <w:tcPr>
            <w:tcW w:type="dxa" w:w="52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6</w:t>
            </w:r>
          </w:p>
        </w:tc>
        <w:tc>
          <w:tcPr>
            <w:tcW w:type="dxa" w:w="378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Functions and checks with assert</w:t>
            </w:r>
          </w:p>
        </w:tc>
        <w:tc>
          <w:tcPr>
            <w:tcW w:type="dxa" w:w="14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p>
        </w:tc>
        <w:tc>
          <w:tcPr>
            <w:tcW w:type="dxa" w:w="38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A function with three checks that pass</w:t>
            </w:r>
          </w:p>
        </w:tc>
      </w:tr>
      <w:tr>
        <w:trPr>
          <w:cantSplit/>
        </w:trPr>
        <w:tc>
          <w:tcPr>
            <w:tcW w:type="dxa" w:w="52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p>
        </w:tc>
        <w:tc>
          <w:tcPr>
            <w:tcW w:type="dxa" w:w="378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b/>
                <w:bCs/>
                <w:color w:val="131B26"/>
                <w:sz w:val="18"/>
                <w:szCs w:val="18"/>
              </w:rPr>
              <w:t xml:space="preserve">Week 3. Tables in pandas</w:t>
            </w:r>
          </w:p>
        </w:tc>
        <w:tc>
          <w:tcPr>
            <w:tcW w:type="dxa" w:w="14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p>
        </w:tc>
        <w:tc>
          <w:tcPr>
            <w:tcW w:type="dxa" w:w="38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p>
        </w:tc>
      </w:tr>
      <w:tr>
        <w:trPr>
          <w:cantSplit/>
        </w:trPr>
        <w:tc>
          <w:tcPr>
            <w:tcW w:type="dxa" w:w="52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7</w:t>
            </w:r>
          </w:p>
        </w:tc>
        <w:tc>
          <w:tcPr>
            <w:tcW w:type="dxa" w:w="378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DataFrame, columns and reading a CSV</w:t>
            </w:r>
          </w:p>
        </w:tc>
        <w:tc>
          <w:tcPr>
            <w:tcW w:type="dxa" w:w="14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pandas</w:t>
            </w:r>
          </w:p>
        </w:tc>
        <w:tc>
          <w:tcPr>
            <w:tcW w:type="dxa" w:w="38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A table described: shape, columns, types</w:t>
            </w:r>
          </w:p>
        </w:tc>
      </w:tr>
      <w:tr>
        <w:trPr>
          <w:cantSplit/>
        </w:trPr>
        <w:tc>
          <w:tcPr>
            <w:tcW w:type="dxa" w:w="52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8</w:t>
            </w:r>
          </w:p>
        </w:tc>
        <w:tc>
          <w:tcPr>
            <w:tcW w:type="dxa" w:w="378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Select, filter and new columns</w:t>
            </w:r>
          </w:p>
        </w:tc>
        <w:tc>
          <w:tcPr>
            <w:tcW w:type="dxa" w:w="14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pandas</w:t>
            </w:r>
          </w:p>
        </w:tc>
        <w:tc>
          <w:tcPr>
            <w:tcW w:type="dxa" w:w="38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A revenue column and a filtered list</w:t>
            </w:r>
          </w:p>
        </w:tc>
      </w:tr>
      <w:tr>
        <w:trPr>
          <w:cantSplit/>
        </w:trPr>
        <w:tc>
          <w:tcPr>
            <w:tcW w:type="dxa" w:w="52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9</w:t>
            </w:r>
          </w:p>
        </w:tc>
        <w:tc>
          <w:tcPr>
            <w:tcW w:type="dxa" w:w="378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Sort, group, mean and median</w:t>
            </w:r>
          </w:p>
        </w:tc>
        <w:tc>
          <w:tcPr>
            <w:tcW w:type="dxa" w:w="14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pandas</w:t>
            </w:r>
          </w:p>
        </w:tc>
        <w:tc>
          <w:tcPr>
            <w:tcW w:type="dxa" w:w="38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Revenue by item and by branch, checked against the hand total</w:t>
            </w:r>
          </w:p>
        </w:tc>
      </w:tr>
      <w:tr>
        <w:trPr>
          <w:cantSplit/>
        </w:trPr>
        <w:tc>
          <w:tcPr>
            <w:tcW w:type="dxa" w:w="52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p>
        </w:tc>
        <w:tc>
          <w:tcPr>
            <w:tcW w:type="dxa" w:w="378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b/>
                <w:bCs/>
                <w:color w:val="131B26"/>
                <w:sz w:val="18"/>
                <w:szCs w:val="18"/>
              </w:rPr>
              <w:t xml:space="preserve">Week 4. Clean and chart</w:t>
            </w:r>
          </w:p>
        </w:tc>
        <w:tc>
          <w:tcPr>
            <w:tcW w:type="dxa" w:w="14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p>
        </w:tc>
        <w:tc>
          <w:tcPr>
            <w:tcW w:type="dxa" w:w="38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p>
        </w:tc>
      </w:tr>
      <w:tr>
        <w:trPr>
          <w:cantSplit/>
        </w:trPr>
        <w:tc>
          <w:tcPr>
            <w:tcW w:type="dxa" w:w="52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10</w:t>
            </w:r>
          </w:p>
        </w:tc>
        <w:tc>
          <w:tcPr>
            <w:tcW w:type="dxa" w:w="378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Cleaning: missing values, duplicates and types</w:t>
            </w:r>
          </w:p>
        </w:tc>
        <w:tc>
          <w:tcPr>
            <w:tcW w:type="dxa" w:w="14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pandas</w:t>
            </w:r>
          </w:p>
        </w:tc>
        <w:tc>
          <w:tcPr>
            <w:tcW w:type="dxa" w:w="38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A cleaned table and a cleaning log; the raw file untouched</w:t>
            </w:r>
          </w:p>
        </w:tc>
      </w:tr>
      <w:tr>
        <w:trPr>
          <w:cantSplit/>
        </w:trPr>
        <w:tc>
          <w:tcPr>
            <w:tcW w:type="dxa" w:w="52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11</w:t>
            </w:r>
          </w:p>
        </w:tc>
        <w:tc>
          <w:tcPr>
            <w:tcW w:type="dxa" w:w="378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Charts with matplotlib</w:t>
            </w:r>
          </w:p>
        </w:tc>
        <w:tc>
          <w:tcPr>
            <w:tcW w:type="dxa" w:w="14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matplotlib</w:t>
            </w:r>
          </w:p>
        </w:tc>
        <w:tc>
          <w:tcPr>
            <w:tcW w:type="dxa" w:w="38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Three labelled charts and one finding each</w:t>
            </w:r>
          </w:p>
        </w:tc>
      </w:tr>
      <w:tr>
        <w:trPr>
          <w:cantSplit/>
        </w:trPr>
        <w:tc>
          <w:tcPr>
            <w:tcW w:type="dxa" w:w="52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12</w:t>
            </w:r>
          </w:p>
        </w:tc>
        <w:tc>
          <w:tcPr>
            <w:tcW w:type="dxa" w:w="378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Checkpoint one</w:t>
            </w:r>
          </w:p>
        </w:tc>
        <w:tc>
          <w:tcPr>
            <w:tcW w:type="dxa" w:w="14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pandas, matplotlib</w:t>
            </w:r>
          </w:p>
        </w:tc>
        <w:tc>
          <w:tcPr>
            <w:tcW w:type="dxa" w:w="38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Load, clean, summarise and chart, with findings and a limitation</w:t>
            </w:r>
          </w:p>
        </w:tc>
      </w:tr>
      <w:tr>
        <w:trPr>
          <w:cantSplit/>
        </w:trPr>
        <w:tc>
          <w:tcPr>
            <w:tcW w:type="dxa" w:w="52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p>
        </w:tc>
        <w:tc>
          <w:tcPr>
            <w:tcW w:type="dxa" w:w="378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b/>
                <w:bCs/>
                <w:color w:val="131B26"/>
                <w:sz w:val="18"/>
                <w:szCs w:val="18"/>
              </w:rPr>
              <w:t xml:space="preserve">Week 5. Explore</w:t>
            </w:r>
          </w:p>
        </w:tc>
        <w:tc>
          <w:tcPr>
            <w:tcW w:type="dxa" w:w="14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p>
        </w:tc>
        <w:tc>
          <w:tcPr>
            <w:tcW w:type="dxa" w:w="38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p>
        </w:tc>
      </w:tr>
      <w:tr>
        <w:trPr>
          <w:cantSplit/>
        </w:trPr>
        <w:tc>
          <w:tcPr>
            <w:tcW w:type="dxa" w:w="52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13</w:t>
            </w:r>
          </w:p>
        </w:tc>
        <w:tc>
          <w:tcPr>
            <w:tcW w:type="dxa" w:w="378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NumPy: arrays and the numbers behind pandas</w:t>
            </w:r>
          </w:p>
        </w:tc>
        <w:tc>
          <w:tcPr>
            <w:tcW w:type="dxa" w:w="14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NumPy</w:t>
            </w:r>
          </w:p>
        </w:tc>
        <w:tc>
          <w:tcPr>
            <w:tcW w:type="dxa" w:w="38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Mean, median, spread and percentiles two ways, agreeing</w:t>
            </w:r>
          </w:p>
        </w:tc>
      </w:tr>
      <w:tr>
        <w:trPr>
          <w:cantSplit/>
        </w:trPr>
        <w:tc>
          <w:tcPr>
            <w:tcW w:type="dxa" w:w="52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14</w:t>
            </w:r>
          </w:p>
        </w:tc>
        <w:tc>
          <w:tcPr>
            <w:tcW w:type="dxa" w:w="378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Exploring distributions with seaborn</w:t>
            </w:r>
          </w:p>
        </w:tc>
        <w:tc>
          <w:tcPr>
            <w:tcW w:type="dxa" w:w="14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seaborn</w:t>
            </w:r>
          </w:p>
        </w:tc>
        <w:tc>
          <w:tcPr>
            <w:tcW w:type="dxa" w:w="38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A histogram and a box plot, with what each shows</w:t>
            </w:r>
          </w:p>
        </w:tc>
      </w:tr>
      <w:tr>
        <w:trPr>
          <w:cantSplit/>
        </w:trPr>
        <w:tc>
          <w:tcPr>
            <w:tcW w:type="dxa" w:w="52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15</w:t>
            </w:r>
          </w:p>
        </w:tc>
        <w:tc>
          <w:tcPr>
            <w:tcW w:type="dxa" w:w="378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Exploring relationships with seaborn</w:t>
            </w:r>
          </w:p>
        </w:tc>
        <w:tc>
          <w:tcPr>
            <w:tcW w:type="dxa" w:w="14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seaborn</w:t>
            </w:r>
          </w:p>
        </w:tc>
        <w:tc>
          <w:tcPr>
            <w:tcW w:type="dxa" w:w="38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A scatter plot and a correlation heatmap; correlation is not cause</w:t>
            </w:r>
          </w:p>
        </w:tc>
      </w:tr>
      <w:tr>
        <w:trPr>
          <w:cantSplit/>
        </w:trPr>
        <w:tc>
          <w:tcPr>
            <w:tcW w:type="dxa" w:w="52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p>
        </w:tc>
        <w:tc>
          <w:tcPr>
            <w:tcW w:type="dxa" w:w="378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b/>
                <w:bCs/>
                <w:color w:val="131B26"/>
                <w:sz w:val="18"/>
                <w:szCs w:val="18"/>
              </w:rPr>
              <w:t xml:space="preserve">Week 6. Messy data and two tables</w:t>
            </w:r>
          </w:p>
        </w:tc>
        <w:tc>
          <w:tcPr>
            <w:tcW w:type="dxa" w:w="14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p>
        </w:tc>
        <w:tc>
          <w:tcPr>
            <w:tcW w:type="dxa" w:w="38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p>
        </w:tc>
      </w:tr>
      <w:tr>
        <w:trPr>
          <w:cantSplit/>
        </w:trPr>
        <w:tc>
          <w:tcPr>
            <w:tcW w:type="dxa" w:w="52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16</w:t>
            </w:r>
          </w:p>
        </w:tc>
        <w:tc>
          <w:tcPr>
            <w:tcW w:type="dxa" w:w="378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Cleaning the raw export: dates, names, units in words</w:t>
            </w:r>
          </w:p>
        </w:tc>
        <w:tc>
          <w:tcPr>
            <w:tcW w:type="dxa" w:w="14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pandas</w:t>
            </w:r>
          </w:p>
        </w:tc>
        <w:tc>
          <w:tcPr>
            <w:tcW w:type="dxa" w:w="38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A cleaning pipeline that reruns from the top</w:t>
            </w:r>
          </w:p>
        </w:tc>
      </w:tr>
      <w:tr>
        <w:trPr>
          <w:cantSplit/>
        </w:trPr>
        <w:tc>
          <w:tcPr>
            <w:tcW w:type="dxa" w:w="52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17</w:t>
            </w:r>
          </w:p>
        </w:tc>
        <w:tc>
          <w:tcPr>
            <w:tcW w:type="dxa" w:w="378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Merging two tables and the fan-out trap</w:t>
            </w:r>
          </w:p>
        </w:tc>
        <w:tc>
          <w:tcPr>
            <w:tcW w:type="dxa" w:w="14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pandas</w:t>
            </w:r>
          </w:p>
        </w:tc>
        <w:tc>
          <w:tcPr>
            <w:tcW w:type="dxa" w:w="38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A merge whose row count is checked before and after</w:t>
            </w:r>
          </w:p>
        </w:tc>
      </w:tr>
      <w:tr>
        <w:trPr>
          <w:cantSplit/>
        </w:trPr>
        <w:tc>
          <w:tcPr>
            <w:tcW w:type="dxa" w:w="52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18</w:t>
            </w:r>
          </w:p>
        </w:tc>
        <w:tc>
          <w:tcPr>
            <w:tcW w:type="dxa" w:w="378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Checkpoint two</w:t>
            </w:r>
          </w:p>
        </w:tc>
        <w:tc>
          <w:tcPr>
            <w:tcW w:type="dxa" w:w="14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pandas, NumPy</w:t>
            </w:r>
          </w:p>
        </w:tc>
        <w:tc>
          <w:tcPr>
            <w:tcW w:type="dxa" w:w="38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Clean, merge and reconcile, with the residual difference named</w:t>
            </w:r>
          </w:p>
        </w:tc>
      </w:tr>
      <w:tr>
        <w:trPr>
          <w:cantSplit/>
        </w:trPr>
        <w:tc>
          <w:tcPr>
            <w:tcW w:type="dxa" w:w="52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p>
        </w:tc>
        <w:tc>
          <w:tcPr>
            <w:tcW w:type="dxa" w:w="378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b/>
                <w:bCs/>
                <w:color w:val="131B26"/>
                <w:sz w:val="18"/>
                <w:szCs w:val="18"/>
              </w:rPr>
              <w:t xml:space="preserve">Week 7. Show it</w:t>
            </w:r>
          </w:p>
        </w:tc>
        <w:tc>
          <w:tcPr>
            <w:tcW w:type="dxa" w:w="14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p>
        </w:tc>
        <w:tc>
          <w:tcPr>
            <w:tcW w:type="dxa" w:w="38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p>
        </w:tc>
      </w:tr>
      <w:tr>
        <w:trPr>
          <w:cantSplit/>
        </w:trPr>
        <w:tc>
          <w:tcPr>
            <w:tcW w:type="dxa" w:w="52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19</w:t>
            </w:r>
          </w:p>
        </w:tc>
        <w:tc>
          <w:tcPr>
            <w:tcW w:type="dxa" w:w="378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Project plan: three questions</w:t>
            </w:r>
          </w:p>
        </w:tc>
        <w:tc>
          <w:tcPr>
            <w:tcW w:type="dxa" w:w="14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p>
        </w:tc>
        <w:tc>
          <w:tcPr>
            <w:tcW w:type="dxa" w:w="38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PROJECT_PLAN.md approved by the instructor</w:t>
            </w:r>
          </w:p>
        </w:tc>
      </w:tr>
      <w:tr>
        <w:trPr>
          <w:cantSplit/>
        </w:trPr>
        <w:tc>
          <w:tcPr>
            <w:tcW w:type="dxa" w:w="52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20</w:t>
            </w:r>
          </w:p>
        </w:tc>
        <w:tc>
          <w:tcPr>
            <w:tcW w:type="dxa" w:w="378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Build a reliable analysis</w:t>
            </w:r>
          </w:p>
        </w:tc>
        <w:tc>
          <w:tcPr>
            <w:tcW w:type="dxa" w:w="14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all</w:t>
            </w:r>
          </w:p>
        </w:tc>
        <w:tc>
          <w:tcPr>
            <w:tcW w:type="dxa" w:w="38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A notebook that reruns from the top</w:t>
            </w:r>
          </w:p>
        </w:tc>
      </w:tr>
      <w:tr>
        <w:trPr>
          <w:cantSplit/>
        </w:trPr>
        <w:tc>
          <w:tcPr>
            <w:tcW w:type="dxa" w:w="52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21</w:t>
            </w:r>
          </w:p>
        </w:tc>
        <w:tc>
          <w:tcPr>
            <w:tcW w:type="dxa" w:w="378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Build and test the chart report (AI critique lab, 20 minutes)</w:t>
            </w:r>
          </w:p>
        </w:tc>
        <w:tc>
          <w:tcPr>
            <w:tcW w:type="dxa" w:w="14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all</w:t>
            </w:r>
          </w:p>
        </w:tc>
        <w:tc>
          <w:tcPr>
            <w:tcW w:type="dxa" w:w="38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A chart report a stranger can read in 30 seconds</w:t>
            </w:r>
          </w:p>
        </w:tc>
      </w:tr>
      <w:tr>
        <w:trPr>
          <w:cantSplit/>
        </w:trPr>
        <w:tc>
          <w:tcPr>
            <w:tcW w:type="dxa" w:w="52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p>
        </w:tc>
        <w:tc>
          <w:tcPr>
            <w:tcW w:type="dxa" w:w="378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b/>
                <w:bCs/>
                <w:color w:val="131B26"/>
                <w:sz w:val="18"/>
                <w:szCs w:val="18"/>
              </w:rPr>
              <w:t xml:space="preserve">Week 8. Hand over</w:t>
            </w:r>
          </w:p>
        </w:tc>
        <w:tc>
          <w:tcPr>
            <w:tcW w:type="dxa" w:w="14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p>
        </w:tc>
        <w:tc>
          <w:tcPr>
            <w:tcW w:type="dxa" w:w="38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p>
        </w:tc>
      </w:tr>
      <w:tr>
        <w:trPr>
          <w:cantSplit/>
        </w:trPr>
        <w:tc>
          <w:tcPr>
            <w:tcW w:type="dxa" w:w="52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22</w:t>
            </w:r>
          </w:p>
        </w:tc>
        <w:tc>
          <w:tcPr>
            <w:tcW w:type="dxa" w:w="378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Report and package the evidence</w:t>
            </w:r>
          </w:p>
        </w:tc>
        <w:tc>
          <w:tcPr>
            <w:tcW w:type="dxa" w:w="14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all</w:t>
            </w:r>
          </w:p>
        </w:tc>
        <w:tc>
          <w:tcPr>
            <w:tcW w:type="dxa" w:w="38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Notebook, cleaning log, data dictionary, report</w:t>
            </w:r>
          </w:p>
        </w:tc>
      </w:tr>
      <w:tr>
        <w:trPr>
          <w:cantSplit/>
        </w:trPr>
        <w:tc>
          <w:tcPr>
            <w:tcW w:type="dxa" w:w="52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23</w:t>
            </w:r>
          </w:p>
        </w:tc>
        <w:tc>
          <w:tcPr>
            <w:tcW w:type="dxa" w:w="378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Explain it to a parent</w:t>
            </w:r>
          </w:p>
        </w:tc>
        <w:tc>
          <w:tcPr>
            <w:tcW w:type="dxa" w:w="14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p>
        </w:tc>
        <w:tc>
          <w:tcPr>
            <w:tcW w:type="dxa" w:w="38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A five-minute talk and a backup</w:t>
            </w:r>
          </w:p>
        </w:tc>
      </w:tr>
      <w:tr>
        <w:trPr>
          <w:cantSplit/>
        </w:trPr>
        <w:tc>
          <w:tcPr>
            <w:tcW w:type="dxa" w:w="52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24</w:t>
            </w:r>
          </w:p>
        </w:tc>
        <w:tc>
          <w:tcPr>
            <w:tcW w:type="dxa" w:w="378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Showcase and next steps</w:t>
            </w:r>
          </w:p>
        </w:tc>
        <w:tc>
          <w:tcPr>
            <w:tcW w:type="dxa" w:w="14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p>
        </w:tc>
        <w:tc>
          <w:tcPr>
            <w:tcW w:type="dxa" w:w="38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The demonstration and one unaided change</w:t>
            </w:r>
          </w:p>
        </w:tc>
      </w:tr>
    </w:tbl>
    <w:p>
      <w:pPr>
        <w:spacing w:after="160"/>
      </w:pPr>
    </w:p>
    <w:p>
      <w:pPr>
        <w:spacing w:after="140" w:line="300"/>
      </w:pPr>
      <w:r>
        <w:rPr>
          <w:rFonts w:ascii="Arial" w:cs="Arial" w:eastAsia="Arial" w:hAnsi="Arial"/>
          <w:color w:val="38424F"/>
          <w:sz w:val="21"/>
          <w:szCs w:val="21"/>
        </w:rPr>
        <w:t xml:space="preserve">Compared with the current track, the content of sessions 1 to 12 is kept and re-paced. Sessions 13 to 17 (SQL) are replaced by NumPy, two exploratory-analysis sessions and the cleaning-and-merge work, and the old session 18 checkpoint is rewritten for Python alone. The statistics module is dropped in favour of pandas and NumPy, and the second half of the old session 9 (proportions and rates) moves into session 9 and session 13 on real columns.</w:t>
      </w:r>
    </w:p>
    <w:p>
      <w:pPr>
        <w:pStyle w:val="Heading2"/>
        <w:keepNext/>
        <w:spacing w:after="100" w:before="240"/>
      </w:pPr>
      <w:r>
        <w:rPr>
          <w:rFonts w:ascii="Cambria" w:cs="Cambria" w:eastAsia="Cambria" w:hAnsi="Cambria"/>
          <w:b/>
          <w:bCs/>
          <w:color w:val="15293A"/>
          <w:sz w:val="24"/>
          <w:szCs w:val="24"/>
        </w:rPr>
        <w:t xml:space="preserve">A dataset with enough in it to find things</w:t>
      </w:r>
    </w:p>
    <w:p>
      <w:pPr>
        <w:spacing w:after="140" w:line="300"/>
      </w:pPr>
      <w:r>
        <w:rPr>
          <w:rFonts w:ascii="Arial" w:cs="Arial" w:eastAsia="Arial" w:hAnsi="Arial"/>
          <w:color w:val="38424F"/>
          <w:sz w:val="21"/>
          <w:szCs w:val="21"/>
        </w:rPr>
        <w:t xml:space="preserve">The 60-row camp_shop table stays for weeks 1 to 3, where hand checking matters. From week 3 the track moves to Sunrise Shops, a fictional three-shop chain over 60 days with 1,513 sales lines and 15 products in four categories. The files are sales, products, branches and a daily record per branch, plus a ready-made daily summary for the exploration sessions, a raw export with five planted defects for sessions 16 to 18, and a products table with one duplicated key for the merge trap in session 17. The data is generated from a fixed seed with an answer key, and a separate verifier re-derives every key number a second way (32 checks pass in the Python 3.10 sandbox; run them once in the camp’s Python 3.12 environment).</w:t>
      </w:r>
    </w:p>
    <w:p>
      <w:pPr>
        <w:spacing w:after="140" w:line="300"/>
      </w:pPr>
      <w:r>
        <w:rPr>
          <w:rFonts w:ascii="Arial" w:cs="Arial" w:eastAsia="Arial" w:hAnsi="Arial"/>
          <w:color w:val="38424F"/>
          <w:sz w:val="21"/>
          <w:szCs w:val="21"/>
        </w:rPr>
        <w:t xml:space="preserve">Four properties are built in and asserted, because they give the lessons something real to find. Mean line value is 1.76 times the median. Central Market earns the most revenue and Campus Gate the most per customer counted. Joining to the practice products table grows 1,513 rows to 1,628 and overstates revenue by UGX 704,000 with no error. Daily customers and revenue are related but not tightly (correlation 0.62), and rain has almost no effect, which is an honest result for students to find. The data stays synthetic and labelled as synthetic.</w:t>
      </w:r>
    </w:p>
    <w:p>
      <w:pPr>
        <w:spacing w:after="140" w:line="300"/>
      </w:pPr>
      <w:r>
        <w:rPr>
          <w:rFonts w:ascii="Arial" w:cs="Arial" w:eastAsia="Arial" w:hAnsi="Arial"/>
          <w:color w:val="38424F"/>
          <w:sz w:val="21"/>
          <w:szCs w:val="21"/>
        </w:rPr>
        <w:t xml:space="preserve">Cleaning the raw export correctly gives UGX 6,250,500 against UGX 6,375,900 in the clean data. The UGX 125,400 difference is the 40 rows with blank units, which cannot be recovered. Students name it in checkpoint two. Reporting that the two totals match would be the mistake.</w:t>
      </w:r>
    </w:p>
    <w:p>
      <w:pPr>
        <w:pStyle w:val="Heading2"/>
        <w:keepNext/>
        <w:spacing w:after="100" w:before="240"/>
      </w:pPr>
      <w:r>
        <w:rPr>
          <w:rFonts w:ascii="Cambria" w:cs="Cambria" w:eastAsia="Cambria" w:hAnsi="Cambria"/>
          <w:b/>
          <w:bCs/>
          <w:color w:val="15293A"/>
          <w:sz w:val="24"/>
          <w:szCs w:val="24"/>
        </w:rPr>
        <w:t xml:space="preserve">What was cut or compressed</w:t>
      </w:r>
    </w:p>
    <w:p>
      <w:pPr>
        <w:spacing w:after="140" w:line="300"/>
      </w:pPr>
      <w:r>
        <w:rPr>
          <w:rFonts w:ascii="Arial" w:cs="Arial" w:eastAsia="Arial" w:hAnsi="Arial"/>
          <w:color w:val="38424F"/>
          <w:sz w:val="21"/>
          <w:szCs w:val="21"/>
        </w:rPr>
        <w:t xml:space="preserve">All SQL, the DB Browser walkthrough, and the standard-library statistics module. Statistics is limited to count, sum, mean, median, range, percentiles, proportions and correlation. Public real data (Uganda Bureau of Statistics, World Bank) may be used for projects once the licence is read at the source. The search summaries gave CC BY 4.0 for both, which I could not confirm by opening the pages.</w:t>
      </w:r>
    </w:p>
    <w:p>
      <w:pPr>
        <w:pStyle w:val="Heading1"/>
        <w:keepNext/>
        <w:pBdr>
          <w:bottom w:val="single" w:color="BFC8D2" w:sz="4" w:space="4"/>
        </w:pBdr>
        <w:spacing w:after="160" w:before="360"/>
      </w:pPr>
      <w:r>
        <w:rPr>
          <w:rFonts w:ascii="Cambria" w:cs="Cambria" w:eastAsia="Cambria" w:hAnsi="Cambria"/>
          <w:b/>
          <w:bCs/>
          <w:color w:val="15293A"/>
          <w:sz w:val="32"/>
          <w:szCs w:val="32"/>
        </w:rPr>
        <w:t xml:space="preserve">5. Machine Learning</w:t>
      </w:r>
    </w:p>
    <w:p>
      <w:pPr>
        <w:spacing w:after="140" w:line="300"/>
      </w:pPr>
      <w:r>
        <w:rPr>
          <w:rFonts w:ascii="Arial" w:cs="Arial" w:eastAsia="Arial" w:hAnsi="Arial"/>
          <w:color w:val="38424F"/>
          <w:sz w:val="21"/>
          <w:szCs w:val="21"/>
        </w:rPr>
        <w:t xml:space="preserve">The sequence is mostly sound. Changes are targeted at motivation, at the three crowded sessions and at the library stack. The four labs keep their positions after sessions 3, 6, 9 and 12.</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806"/>
      </w:tblGrid>
      <w:tr>
        <w:trPr>
          <w:cantSplit/>
          <w:tblHeader/>
        </w:trPr>
        <w:tc>
          <w:tcPr>
            <w:tcW w:type="dxa" w:w="15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b/>
                <w:bCs/>
                <w:color w:val="131B26"/>
                <w:sz w:val="18"/>
                <w:szCs w:val="18"/>
              </w:rPr>
              <w:t xml:space="preserve">Where</w:t>
            </w:r>
          </w:p>
        </w:tc>
        <w:tc>
          <w:tcPr>
            <w:tcW w:type="dxa" w:w="42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b/>
                <w:bCs/>
                <w:color w:val="131B26"/>
                <w:sz w:val="18"/>
                <w:szCs w:val="18"/>
              </w:rPr>
              <w:t xml:space="preserve">Change</w:t>
            </w:r>
          </w:p>
        </w:tc>
        <w:tc>
          <w:tcPr>
            <w:tcW w:type="dxa" w:w="38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b/>
                <w:bCs/>
                <w:color w:val="131B26"/>
                <w:sz w:val="18"/>
                <w:szCs w:val="18"/>
              </w:rPr>
              <w:t xml:space="preserve">Reason</w:t>
            </w:r>
          </w:p>
        </w:tc>
      </w:tr>
      <w:tr>
        <w:trPr>
          <w:cantSplit/>
        </w:trPr>
        <w:tc>
          <w:tcPr>
            <w:tcW w:type="dxa" w:w="15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color w:val="38424F"/>
                <w:sz w:val="18"/>
                <w:szCs w:val="18"/>
              </w:rPr>
              <w:t xml:space="preserve">Session 1</w:t>
            </w:r>
          </w:p>
        </w:tc>
        <w:tc>
          <w:tcPr>
            <w:tcW w:type="dxa" w:w="42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color w:val="38424F"/>
                <w:sz w:val="18"/>
                <w:szCs w:val="18"/>
              </w:rPr>
              <w:t xml:space="preserve">After the first two lines, students predict and then run a ready-made six-line model that estimates a rent from floor area using synthetic_homes.csv. They are not asked to understand it. Session 13 returns to it.</w:t>
            </w:r>
          </w:p>
        </w:tc>
        <w:tc>
          <w:tcPr>
            <w:tcW w:type="dxa" w:w="38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color w:val="38424F"/>
                <w:sz w:val="18"/>
                <w:szCs w:val="18"/>
              </w:rPr>
              <w:t xml:space="preserve">A prediction in the first hour gives the next four weeks a purpose. PRIMM calls for running code before reading it.</w:t>
            </w:r>
          </w:p>
        </w:tc>
      </w:tr>
      <w:tr>
        <w:trPr>
          <w:cantSplit/>
        </w:trPr>
        <w:tc>
          <w:tcPr>
            <w:tcW w:type="dxa" w:w="15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color w:val="38424F"/>
                <w:sz w:val="18"/>
                <w:szCs w:val="18"/>
              </w:rPr>
              <w:t xml:space="preserve">Session 4</w:t>
            </w:r>
          </w:p>
        </w:tc>
        <w:tc>
          <w:tcPr>
            <w:tcW w:type="dxa" w:w="42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color w:val="38424F"/>
                <w:sz w:val="18"/>
                <w:szCs w:val="18"/>
              </w:rPr>
              <w:t xml:space="preserve">Add a hand-written if/else rule that guesses an iris species from petal length. Students count how often it is right.</w:t>
            </w:r>
          </w:p>
        </w:tc>
        <w:tc>
          <w:tcPr>
            <w:tcW w:type="dxa" w:w="38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color w:val="38424F"/>
                <w:sz w:val="18"/>
                <w:szCs w:val="18"/>
              </w:rPr>
              <w:t xml:space="preserve">The decision tree in session 16 is then a rule the computer wrote.</w:t>
            </w:r>
          </w:p>
        </w:tc>
      </w:tr>
      <w:tr>
        <w:trPr>
          <w:cantSplit/>
        </w:trPr>
        <w:tc>
          <w:tcPr>
            <w:tcW w:type="dxa" w:w="15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Session 7</w:t>
            </w:r>
          </w:p>
        </w:tc>
        <w:tc>
          <w:tcPr>
            <w:tcW w:type="dxa" w:w="42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Teach table, row, column, header, CSV, DataFrame and read_csv only. Move to_csv, index=False and named options to session 10, where the cleaning log is saved.</w:t>
            </w:r>
          </w:p>
        </w:tc>
        <w:tc>
          <w:tcPr>
            <w:tcW w:type="dxa" w:w="38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Cuts roughly half of the session's new words.</w:t>
            </w:r>
          </w:p>
        </w:tc>
      </w:tr>
      <w:tr>
        <w:trPr>
          <w:cantSplit/>
        </w:trPr>
        <w:tc>
          <w:tcPr>
            <w:tcW w:type="dxa" w:w="15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Labs F02 and F04</w:t>
            </w:r>
          </w:p>
        </w:tc>
        <w:tc>
          <w:tcPr>
            <w:tcW w:type="dxa" w:w="42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Use NumPy arrays for vectors and np.dot for the weighted sum. The first NumPy contact comes in the labs, in plain Python before pandas.</w:t>
            </w:r>
          </w:p>
        </w:tc>
        <w:tc>
          <w:tcPr>
            <w:tcW w:type="dxa" w:w="38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A weighted sum becomes the same arithmetic the model does in session 14.</w:t>
            </w:r>
          </w:p>
        </w:tc>
      </w:tr>
      <w:tr>
        <w:trPr>
          <w:cantSplit/>
        </w:trPr>
        <w:tc>
          <w:tcPr>
            <w:tcW w:type="dxa" w:w="15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Session 11</w:t>
            </w:r>
          </w:p>
        </w:tc>
        <w:tc>
          <w:tcPr>
            <w:tcW w:type="dxa" w:w="42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Charts with matplotlib, then one seaborn plot (a histogram and a box plot) so the first look at data has the same tools as the Data Analysis track.</w:t>
            </w:r>
          </w:p>
        </w:tc>
        <w:tc>
          <w:tcPr>
            <w:tcW w:type="dxa" w:w="38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Standard exploratory plots before any modelling.</w:t>
            </w:r>
          </w:p>
        </w:tc>
      </w:tr>
      <w:tr>
        <w:trPr>
          <w:cantSplit/>
        </w:trPr>
        <w:tc>
          <w:tcPr>
            <w:tcW w:type="dxa" w:w="15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Session 14</w:t>
            </w:r>
          </w:p>
        </w:tc>
        <w:tc>
          <w:tcPr>
            <w:tcW w:type="dxa" w:w="42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Fit a line by hand on a printed scatter plot, measure its error, then ask LinearRegression for the line.</w:t>
            </w:r>
          </w:p>
        </w:tc>
        <w:tc>
          <w:tcPr>
            <w:tcW w:type="dxa" w:w="38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Students see what fit does before they type it.</w:t>
            </w:r>
          </w:p>
        </w:tc>
      </w:tr>
      <w:tr>
        <w:trPr>
          <w:cantSplit/>
        </w:trPr>
        <w:tc>
          <w:tcPr>
            <w:tcW w:type="dxa" w:w="15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Session 15</w:t>
            </w:r>
          </w:p>
        </w:tc>
        <w:tc>
          <w:tcPr>
            <w:tcW w:type="dxa" w:w="42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Teach the split and the baseline error. Mention random_state in one sentence. Move stratify to session 18.</w:t>
            </w:r>
          </w:p>
        </w:tc>
        <w:tc>
          <w:tcPr>
            <w:tcW w:type="dxa" w:w="38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Brings the session to a defensible number of new terms.</w:t>
            </w:r>
          </w:p>
        </w:tc>
      </w:tr>
      <w:tr>
        <w:trPr>
          <w:cantSplit/>
        </w:trPr>
        <w:tc>
          <w:tcPr>
            <w:tcW w:type="dxa" w:w="15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Sessions 16 and 17</w:t>
            </w:r>
          </w:p>
        </w:tc>
        <w:tc>
          <w:tcPr>
            <w:tcW w:type="dxa" w:w="42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Draw the tree with scikit-learn's plot_tree. Show the confusion matrix with ConfusionMatrixDisplay.</w:t>
            </w:r>
          </w:p>
        </w:tc>
        <w:tc>
          <w:tcPr>
            <w:tcW w:type="dxa" w:w="38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Standard scikit-learn visual tools replace hand-drawn output.</w:t>
            </w:r>
          </w:p>
        </w:tc>
      </w:tr>
      <w:tr>
        <w:trPr>
          <w:cantSplit/>
        </w:trPr>
        <w:tc>
          <w:tcPr>
            <w:tcW w:type="dxa" w:w="15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Sessions 19 to 21</w:t>
            </w:r>
          </w:p>
        </w:tc>
        <w:tc>
          <w:tcPr>
            <w:tcW w:type="dxa" w:w="42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Add a second regression dataset with realistic noise, so one project shows a model that barely beats the baseline.</w:t>
            </w:r>
          </w:p>
        </w:tc>
        <w:tc>
          <w:tcPr>
            <w:tcW w:type="dxa" w:w="38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synthetic_homes.csv is generated to be easily learnable (the data dictionary says so). A weak result teaches the evaluation lesson.</w:t>
            </w:r>
          </w:p>
        </w:tc>
      </w:tr>
      <w:tr>
        <w:trPr>
          <w:cantSplit/>
        </w:trPr>
        <w:tc>
          <w:tcPr>
            <w:tcW w:type="dxa" w:w="15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After session 24</w:t>
            </w:r>
          </w:p>
        </w:tc>
        <w:tc>
          <w:tcPr>
            <w:tcW w:type="dxa" w:w="42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An optional extension notebook, not assessed: a small neural network with scikit-learn's MLPClassifier on iris, then a short Keras demonstration on the instructor laptop.</w:t>
            </w:r>
          </w:p>
        </w:tc>
        <w:tc>
          <w:tcPr>
            <w:tcW w:type="dxa" w:w="38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See the next section.</w:t>
            </w:r>
          </w:p>
        </w:tc>
      </w:tr>
      <w:tr>
        <w:trPr>
          <w:cantSplit/>
        </w:trPr>
        <w:tc>
          <w:tcPr>
            <w:tcW w:type="dxa" w:w="15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All sessions</w:t>
            </w:r>
          </w:p>
        </w:tc>
        <w:tc>
          <w:tcPr>
            <w:tcW w:type="dxa" w:w="42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Apply the rules in section 3: one question, six words, the two-block clock, an error card, a weekly product.</w:t>
            </w:r>
          </w:p>
        </w:tc>
        <w:tc>
          <w:tcPr>
            <w:tcW w:type="dxa" w:w="38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The same template is used for every session today.</w:t>
            </w:r>
          </w:p>
        </w:tc>
      </w:tr>
    </w:tbl>
    <w:p>
      <w:pPr>
        <w:spacing w:after="160"/>
      </w:pPr>
    </w:p>
    <w:p>
      <w:pPr>
        <w:spacing w:after="140" w:line="300"/>
      </w:pPr>
      <w:r>
        <w:rPr>
          <w:rFonts w:ascii="Arial" w:cs="Arial" w:eastAsia="Arial" w:hAnsi="Arial"/>
          <w:color w:val="38424F"/>
          <w:sz w:val="21"/>
          <w:szCs w:val="21"/>
        </w:rPr>
        <w:t xml:space="preserve">Sessions 1 to 3 text can be shared with the Data Analysis track. From session 4 the tracks diverge, and each has its own curriculum file.</w:t>
      </w:r>
    </w:p>
    <w:p>
      <w:pPr>
        <w:pStyle w:val="Heading1"/>
        <w:keepNext/>
        <w:pBdr>
          <w:bottom w:val="single" w:color="BFC8D2" w:sz="4" w:space="4"/>
        </w:pBdr>
        <w:spacing w:after="160" w:before="360"/>
      </w:pPr>
      <w:r>
        <w:rPr>
          <w:rFonts w:ascii="Cambria" w:cs="Cambria" w:eastAsia="Cambria" w:hAnsi="Cambria"/>
          <w:b/>
          <w:bCs/>
          <w:color w:val="15293A"/>
          <w:sz w:val="32"/>
          <w:szCs w:val="32"/>
        </w:rPr>
        <w:t xml:space="preserve">6. The library stack</w:t>
      </w:r>
    </w:p>
    <w:p>
      <w:pPr>
        <w:spacing w:after="140" w:line="300"/>
      </w:pPr>
      <w:r>
        <w:rPr>
          <w:rFonts w:ascii="Arial" w:cs="Arial" w:eastAsia="Arial" w:hAnsi="Arial"/>
          <w:color w:val="38424F"/>
          <w:sz w:val="21"/>
          <w:szCs w:val="21"/>
        </w:rPr>
        <w:t xml:space="preserve">Every library below is the one practitioners use for that job. The camp installs them once, in one pinned environment, and runs a preflight script on every laptop before day one.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1250"/>
        <w:gridCol w:w="1250"/>
        <w:gridCol w:w="2006"/>
      </w:tblGrid>
      <w:tr>
        <w:trPr>
          <w:cantSplit/>
          <w:tblHeader/>
        </w:trPr>
        <w:tc>
          <w:tcPr>
            <w:tcW w:type="dxa" w:w="17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b/>
                <w:bCs/>
                <w:color w:val="131B26"/>
                <w:sz w:val="18"/>
                <w:szCs w:val="18"/>
              </w:rPr>
              <w:t xml:space="preserve">Library</w:t>
            </w:r>
          </w:p>
        </w:tc>
        <w:tc>
          <w:tcPr>
            <w:tcW w:type="dxa" w:w="33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b/>
                <w:bCs/>
                <w:color w:val="131B26"/>
                <w:sz w:val="18"/>
                <w:szCs w:val="18"/>
              </w:rPr>
              <w:t xml:space="preserve">Used for</w:t>
            </w:r>
          </w:p>
        </w:tc>
        <w:tc>
          <w:tcPr>
            <w:tcW w:type="dxa" w:w="125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b/>
                <w:bCs/>
                <w:color w:val="131B26"/>
                <w:sz w:val="18"/>
                <w:szCs w:val="18"/>
              </w:rPr>
              <w:t xml:space="preserve">Data Analysis</w:t>
            </w:r>
          </w:p>
        </w:tc>
        <w:tc>
          <w:tcPr>
            <w:tcW w:type="dxa" w:w="125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b/>
                <w:bCs/>
                <w:color w:val="131B26"/>
                <w:sz w:val="18"/>
                <w:szCs w:val="18"/>
              </w:rPr>
              <w:t xml:space="preserve">Machine Learning</w:t>
            </w:r>
          </w:p>
        </w:tc>
        <w:tc>
          <w:tcPr>
            <w:tcW w:type="dxa" w:w="20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b/>
                <w:bCs/>
                <w:color w:val="131B26"/>
                <w:sz w:val="18"/>
                <w:szCs w:val="18"/>
              </w:rPr>
              <w:t xml:space="preserve">Status</w:t>
            </w:r>
          </w:p>
        </w:tc>
      </w:tr>
      <w:tr>
        <w:trPr>
          <w:cantSplit/>
        </w:trPr>
        <w:tc>
          <w:tcPr>
            <w:tcW w:type="dxa" w:w="17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color w:val="38424F"/>
                <w:sz w:val="18"/>
                <w:szCs w:val="18"/>
              </w:rPr>
              <w:t xml:space="preserve">NumPy</w:t>
            </w:r>
          </w:p>
        </w:tc>
        <w:tc>
          <w:tcPr>
            <w:tcW w:type="dxa" w:w="33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color w:val="38424F"/>
                <w:sz w:val="18"/>
                <w:szCs w:val="18"/>
              </w:rPr>
              <w:t xml:space="preserve">Arrays, vectorised arithmetic, percentiles, correlation</w:t>
            </w:r>
          </w:p>
        </w:tc>
        <w:tc>
          <w:tcPr>
            <w:tcW w:type="dxa" w:w="125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color w:val="38424F"/>
                <w:sz w:val="18"/>
                <w:szCs w:val="18"/>
              </w:rPr>
              <w:t xml:space="preserve">Session 13</w:t>
            </w:r>
          </w:p>
        </w:tc>
        <w:tc>
          <w:tcPr>
            <w:tcW w:type="dxa" w:w="125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color w:val="38424F"/>
                <w:sz w:val="18"/>
                <w:szCs w:val="18"/>
              </w:rPr>
              <w:t xml:space="preserve">Labs F02, F04</w:t>
            </w:r>
          </w:p>
        </w:tc>
        <w:tc>
          <w:tcPr>
            <w:tcW w:type="dxa" w:w="20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color w:val="38424F"/>
                <w:sz w:val="18"/>
                <w:szCs w:val="18"/>
              </w:rPr>
              <w:t xml:space="preserve">New. Installed with pandas; pin it explicitly.</w:t>
            </w:r>
          </w:p>
        </w:tc>
      </w:tr>
      <w:tr>
        <w:trPr>
          <w:cantSplit/>
        </w:trPr>
        <w:tc>
          <w:tcPr>
            <w:tcW w:type="dxa" w:w="17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color w:val="38424F"/>
                <w:sz w:val="18"/>
                <w:szCs w:val="18"/>
              </w:rPr>
              <w:t xml:space="preserve">pandas</w:t>
            </w:r>
          </w:p>
        </w:tc>
        <w:tc>
          <w:tcPr>
            <w:tcW w:type="dxa" w:w="33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color w:val="38424F"/>
                <w:sz w:val="18"/>
                <w:szCs w:val="18"/>
              </w:rPr>
              <w:t xml:space="preserve">Tables, cleaning, grouping, merging</w:t>
            </w:r>
          </w:p>
        </w:tc>
        <w:tc>
          <w:tcPr>
            <w:tcW w:type="dxa" w:w="125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color w:val="38424F"/>
                <w:sz w:val="18"/>
                <w:szCs w:val="18"/>
              </w:rPr>
              <w:t xml:space="preserve">Sessions 1, 7 to 10, 16 to 18</w:t>
            </w:r>
          </w:p>
        </w:tc>
        <w:tc>
          <w:tcPr>
            <w:tcW w:type="dxa" w:w="125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color w:val="38424F"/>
                <w:sz w:val="18"/>
                <w:szCs w:val="18"/>
              </w:rPr>
              <w:t xml:space="preserve">Sessions 7 to 12</w:t>
            </w:r>
          </w:p>
        </w:tc>
        <w:tc>
          <w:tcPr>
            <w:tcW w:type="dxa" w:w="20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color w:val="38424F"/>
                <w:sz w:val="18"/>
                <w:szCs w:val="18"/>
              </w:rPr>
              <w:t xml:space="preserve">In use.</w:t>
            </w:r>
          </w:p>
        </w:tc>
      </w:tr>
      <w:tr>
        <w:trPr>
          <w:cantSplit/>
        </w:trPr>
        <w:tc>
          <w:tcPr>
            <w:tcW w:type="dxa" w:w="17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matplotlib</w:t>
            </w:r>
          </w:p>
        </w:tc>
        <w:tc>
          <w:tcPr>
            <w:tcW w:type="dxa" w:w="33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Chart foundation and labelling</w:t>
            </w:r>
          </w:p>
        </w:tc>
        <w:tc>
          <w:tcPr>
            <w:tcW w:type="dxa" w:w="125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Session 11</w:t>
            </w:r>
          </w:p>
        </w:tc>
        <w:tc>
          <w:tcPr>
            <w:tcW w:type="dxa" w:w="125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Session 11</w:t>
            </w:r>
          </w:p>
        </w:tc>
        <w:tc>
          <w:tcPr>
            <w:tcW w:type="dxa" w:w="20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In use.</w:t>
            </w:r>
          </w:p>
        </w:tc>
      </w:tr>
      <w:tr>
        <w:trPr>
          <w:cantSplit/>
        </w:trPr>
        <w:tc>
          <w:tcPr>
            <w:tcW w:type="dxa" w:w="17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seaborn</w:t>
            </w:r>
          </w:p>
        </w:tc>
        <w:tc>
          <w:tcPr>
            <w:tcW w:type="dxa" w:w="33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Exploratory statistical plots</w:t>
            </w:r>
          </w:p>
        </w:tc>
        <w:tc>
          <w:tcPr>
            <w:tcW w:type="dxa" w:w="125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Sessions 14, 15</w:t>
            </w:r>
          </w:p>
        </w:tc>
        <w:tc>
          <w:tcPr>
            <w:tcW w:type="dxa" w:w="125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Session 11</w:t>
            </w:r>
          </w:p>
        </w:tc>
        <w:tc>
          <w:tcPr>
            <w:tcW w:type="dxa" w:w="20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New. Builds on matplotlib and pandas.</w:t>
            </w:r>
          </w:p>
        </w:tc>
      </w:tr>
      <w:tr>
        <w:trPr>
          <w:cantSplit/>
        </w:trPr>
        <w:tc>
          <w:tcPr>
            <w:tcW w:type="dxa" w:w="17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scikit-learn</w:t>
            </w:r>
          </w:p>
        </w:tc>
        <w:tc>
          <w:tcPr>
            <w:tcW w:type="dxa" w:w="33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Models, splits, metrics, tree and matrix plots</w:t>
            </w:r>
          </w:p>
        </w:tc>
        <w:tc>
          <w:tcPr>
            <w:tcW w:type="dxa" w:w="125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Not used</w:t>
            </w:r>
          </w:p>
        </w:tc>
        <w:tc>
          <w:tcPr>
            <w:tcW w:type="dxa" w:w="125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Sessions 13 to 24</w:t>
            </w:r>
          </w:p>
        </w:tc>
        <w:tc>
          <w:tcPr>
            <w:tcW w:type="dxa" w:w="20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In use; adds plot_tree and ConfusionMatrixDisplay.</w:t>
            </w:r>
          </w:p>
        </w:tc>
      </w:tr>
      <w:tr>
        <w:trPr>
          <w:cantSplit/>
        </w:trPr>
        <w:tc>
          <w:tcPr>
            <w:tcW w:type="dxa" w:w="17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TensorFlow and Keras</w:t>
            </w:r>
          </w:p>
        </w:tc>
        <w:tc>
          <w:tcPr>
            <w:tcW w:type="dxa" w:w="33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Neural networks</w:t>
            </w:r>
          </w:p>
        </w:tc>
        <w:tc>
          <w:tcPr>
            <w:tcW w:type="dxa" w:w="125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Not used</w:t>
            </w:r>
          </w:p>
        </w:tc>
        <w:tc>
          <w:tcPr>
            <w:tcW w:type="dxa" w:w="125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Instructor demo only</w:t>
            </w:r>
          </w:p>
        </w:tc>
        <w:tc>
          <w:tcPr>
            <w:tcW w:type="dxa" w:w="20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Not in the student stack.</w:t>
            </w:r>
          </w:p>
        </w:tc>
      </w:tr>
    </w:tbl>
    <w:p>
      <w:pPr>
        <w:spacing w:after="160"/>
      </w:pPr>
    </w:p>
    <w:p>
      <w:pPr>
        <w:spacing w:after="140" w:line="300"/>
      </w:pPr>
      <w:r>
        <w:rPr>
          <w:rFonts w:ascii="Arial" w:cs="Arial" w:eastAsia="Arial" w:hAnsi="Arial"/>
          <w:color w:val="38424F"/>
          <w:sz w:val="21"/>
          <w:szCs w:val="21"/>
        </w:rPr>
        <w:t xml:space="preserve">TensorFlow is excluded from the student environment on purpose. It is a large install, it is sensitive to the Python version (the official page lists 2.21 wheels for Python 3.10 to 3.13, and other pages in the same search disagree), and on a table of 120 homes or 150 flowers a neural network does not beat a line or a small tree. That last point is itself a lesson: a bigger model is not automatically a better one. The extension notebook gives students a neural network inside scikit-learn, with no new install, and the instructor shows Keras on one machine.</w:t>
      </w:r>
    </w:p>
    <w:p>
      <w:pPr>
        <w:spacing w:after="140" w:line="300"/>
      </w:pPr>
      <w:r>
        <w:rPr>
          <w:rFonts w:ascii="Arial" w:cs="Arial" w:eastAsia="Arial" w:hAnsi="Arial"/>
          <w:color w:val="38424F"/>
          <w:sz w:val="21"/>
          <w:szCs w:val="21"/>
        </w:rPr>
        <w:t xml:space="preserve">Two additions, NumPy and seaborn, should be pinned in operations/requirements-tested.txt after the preflight passes on a Windows laptop and a Mac with the camp’s Python 3.12 and pandas 3.0.6. I could not test seaborn against pandas 3.0 here, so that pairing is unverified. The script is operations/preflight_stack.py: it imports each library, exercises one real function from each, and prints READY or the failing line. It has not yet been run with scikit-learn or Jupyter installed, because the sandbox could not install them.</w:t>
      </w:r>
    </w:p>
    <w:p>
      <w:pPr>
        <w:pStyle w:val="Heading1"/>
        <w:keepNext/>
        <w:pBdr>
          <w:bottom w:val="single" w:color="BFC8D2" w:sz="4" w:space="4"/>
        </w:pBdr>
        <w:spacing w:after="160" w:before="360"/>
      </w:pPr>
      <w:r>
        <w:rPr>
          <w:rFonts w:ascii="Cambria" w:cs="Cambria" w:eastAsia="Cambria" w:hAnsi="Cambria"/>
          <w:b/>
          <w:bCs/>
          <w:color w:val="15293A"/>
          <w:sz w:val="32"/>
          <w:szCs w:val="32"/>
        </w:rPr>
        <w:t xml:space="preserve">7. File structure</w:t>
      </w:r>
    </w:p>
    <w:p>
      <w:pPr>
        <w:spacing w:after="140" w:line="300"/>
      </w:pPr>
      <w:r>
        <w:rPr>
          <w:rFonts w:ascii="Arial" w:cs="Arial" w:eastAsia="Arial" w:hAnsi="Arial"/>
          <w:color w:val="38424F"/>
          <w:sz w:val="21"/>
          <w:szCs w:val="21"/>
        </w:rPr>
        <w:t xml:space="preserve">Today the curriculum and class plan describe both tracks in one file, the AI policy, rubric and start guide are copied into both student folders, and the lesson text for the two tracks is duplicated. The camp files are generated by scripts/schools_camp_content.py and the build scripts named in the camp README, so the changes belong in those sources and the documents are rebuilt. Hand edits would be overwritten.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Pr>
        <w:tc>
          <w:tcPr>
            <w:tcW w:type="dxa" w:w="9506"/>
            <w:tcBorders>
              <w:top w:val="single" w:color="BFC8D2" w:sz="4"/>
              <w:left w:val="single" w:color="BFC8D2" w:sz="4"/>
              <w:bottom w:val="single" w:color="BFC8D2" w:sz="4"/>
              <w:right w:val="single" w:color="BFC8D2" w:sz="4"/>
            </w:tcBorders>
            <w:tcMar>
              <w:top w:type="dxa" w:w="100"/>
              <w:left w:type="dxa" w:w="140"/>
              <w:bottom w:type="dxa" w:w="100"/>
              <w:right w:type="dxa" w:w="140"/>
            </w:tcMar>
          </w:tcPr>
          <w:p>
            <w:pPr>
              <w:spacing w:after="0" w:line="252"/>
            </w:pPr>
            <w:r>
              <w:rPr>
                <w:rFonts w:ascii="Courier New" w:cs="Courier New" w:eastAsia="Courier New" w:hAnsi="Courier New"/>
                <w:color w:val="131B26"/>
                <w:sz w:val="18"/>
                <w:szCs w:val="18"/>
              </w:rPr>
              <w:t xml:space="preserve">camp_2026/</w:t>
            </w:r>
          </w:p>
          <w:p>
            <w:pPr>
              <w:spacing w:after="0" w:line="252"/>
            </w:pPr>
            <w:r>
              <w:rPr>
                <w:rFonts w:ascii="Courier New" w:cs="Courier New" w:eastAsia="Courier New" w:hAnsi="Courier New"/>
                <w:color w:val="131B26"/>
                <w:sz w:val="18"/>
                <w:szCs w:val="18"/>
              </w:rPr>
              <w:t xml:space="preserve">  README.md, operations/            preflight_stack.py added</w:t>
            </w:r>
          </w:p>
          <w:p>
            <w:pPr>
              <w:spacing w:after="0" w:line="252"/>
            </w:pPr>
            <w:r>
              <w:rPr>
                <w:rFonts w:ascii="Courier New" w:cs="Courier New" w:eastAsia="Courier New" w:hAnsi="Courier New"/>
                <w:color w:val="131B26"/>
                <w:sz w:val="18"/>
                <w:szCs w:val="18"/>
              </w:rPr>
              <w:t xml:space="preserve">  shared/                           AI policy, rubric, start guide, setup,</w:t>
            </w:r>
          </w:p>
          <w:p>
            <w:pPr>
              <w:spacing w:after="0" w:line="252"/>
            </w:pPr>
            <w:r>
              <w:rPr>
                <w:rFonts w:ascii="Courier New" w:cs="Courier New" w:eastAsia="Courier New" w:hAnsi="Courier New"/>
                <w:color w:val="131B26"/>
                <w:sz w:val="18"/>
                <w:szCs w:val="18"/>
              </w:rPr>
              <w:t xml:space="preserve">                                    glossary, class error glossary</w:t>
            </w:r>
          </w:p>
          <w:p>
            <w:pPr>
              <w:spacing w:after="0" w:line="252"/>
            </w:pPr>
            <w:r>
              <w:rPr>
                <w:rFonts w:ascii="Courier New" w:cs="Courier New" w:eastAsia="Courier New" w:hAnsi="Courier New"/>
                <w:color w:val="131B26"/>
                <w:sz w:val="18"/>
                <w:szCs w:val="18"/>
              </w:rPr>
              <w:t xml:space="preserve">  DA_Python/</w:t>
            </w:r>
          </w:p>
          <w:p>
            <w:pPr>
              <w:spacing w:after="0" w:line="252"/>
            </w:pPr>
            <w:r>
              <w:rPr>
                <w:rFonts w:ascii="Courier New" w:cs="Courier New" w:eastAsia="Courier New" w:hAnsi="Courier New"/>
                <w:color w:val="131B26"/>
                <w:sz w:val="18"/>
                <w:szCs w:val="18"/>
              </w:rPr>
              <w:t xml:space="preserve">    CURRICULUM.md  CLASS_PLAN.md    24 sessions, section 4's map</w:t>
            </w:r>
          </w:p>
          <w:p>
            <w:pPr>
              <w:spacing w:after="0" w:line="252"/>
            </w:pPr>
            <w:r>
              <w:rPr>
                <w:rFonts w:ascii="Courier New" w:cs="Courier New" w:eastAsia="Courier New" w:hAnsi="Courier New"/>
                <w:color w:val="131B26"/>
                <w:sz w:val="18"/>
                <w:szCs w:val="18"/>
              </w:rPr>
              <w:t xml:space="preserve">    student/  instructor/  data/    sheets, notebooks, guides, Sunrise data</w:t>
            </w:r>
          </w:p>
          <w:p>
            <w:pPr>
              <w:spacing w:after="0" w:line="252"/>
            </w:pPr>
            <w:r>
              <w:rPr>
                <w:rFonts w:ascii="Courier New" w:cs="Courier New" w:eastAsia="Courier New" w:hAnsi="Courier New"/>
                <w:color w:val="131B26"/>
                <w:sz w:val="18"/>
                <w:szCs w:val="18"/>
              </w:rPr>
              <w:t xml:space="preserve">  ML/</w:t>
            </w:r>
          </w:p>
          <w:p>
            <w:pPr>
              <w:spacing w:after="0" w:line="252"/>
            </w:pPr>
            <w:r>
              <w:rPr>
                <w:rFonts w:ascii="Courier New" w:cs="Courier New" w:eastAsia="Courier New" w:hAnsi="Courier New"/>
                <w:color w:val="131B26"/>
                <w:sz w:val="18"/>
                <w:szCs w:val="18"/>
              </w:rPr>
              <w:t xml:space="preserve">    CURRICULUM.md  CLASS_PLAN.md    24 sessions plus F01 to F04</w:t>
            </w:r>
          </w:p>
          <w:p>
            <w:pPr>
              <w:spacing w:after="0" w:line="252"/>
            </w:pPr>
            <w:r>
              <w:rPr>
                <w:rFonts w:ascii="Courier New" w:cs="Courier New" w:eastAsia="Courier New" w:hAnsi="Courier New"/>
                <w:color w:val="131B26"/>
                <w:sz w:val="18"/>
                <w:szCs w:val="18"/>
              </w:rPr>
              <w:t xml:space="preserve">    student/  instructor/  data/</w:t>
            </w:r>
          </w:p>
          <w:p>
            <w:pPr>
              <w:spacing w:after="0" w:line="252"/>
            </w:pPr>
            <w:r>
              <w:rPr>
                <w:rFonts w:ascii="Courier New" w:cs="Courier New" w:eastAsia="Courier New" w:hAnsi="Courier New"/>
                <w:color w:val="131B26"/>
                <w:sz w:val="18"/>
                <w:szCs w:val="18"/>
              </w:rPr>
              <w:t xml:space="preserve">  marketing/                        updated for the new track name</w:t>
            </w:r>
          </w:p>
        </w:tc>
      </w:tr>
    </w:tbl>
    <w:p>
      <w:pPr>
        <w:spacing w:after="160"/>
      </w:pPr>
    </w:p>
    <w:p>
      <w:pPr>
        <w:pStyle w:val="Heading1"/>
        <w:keepNext/>
        <w:pBdr>
          <w:bottom w:val="single" w:color="BFC8D2" w:sz="4" w:space="4"/>
        </w:pBdr>
        <w:spacing w:after="160" w:before="360"/>
      </w:pPr>
      <w:r>
        <w:rPr>
          <w:rFonts w:ascii="Cambria" w:cs="Cambria" w:eastAsia="Cambria" w:hAnsi="Cambria"/>
          <w:b/>
          <w:bCs/>
          <w:color w:val="15293A"/>
          <w:sz w:val="32"/>
          <w:szCs w:val="32"/>
        </w:rPr>
        <w:t xml:space="preserve">8. The new lesson sheet</w:t>
      </w:r>
    </w:p>
    <w:p>
      <w:pPr>
        <w:spacing w:after="140" w:line="300"/>
      </w:pPr>
      <w:r>
        <w:rPr>
          <w:rFonts w:ascii="Arial" w:cs="Arial" w:eastAsia="Arial" w:hAnsi="Arial"/>
          <w:color w:val="38424F"/>
          <w:sz w:val="21"/>
          <w:szCs w:val="21"/>
        </w:rPr>
        <w:t xml:space="preserve">One page of reading, then the notebook. The sheet has seven parts, in this order: today's question, words for today, predict, run and investigate, modify, make, and the exit ticket with the error card. The AI policy and practice routine live once in the start guide, with a single line on each sheet. The instructor guide gains a session-specific pacing table, session-specific questions with expected answers, and a list of the likely misconceptions.</w:t>
      </w:r>
    </w:p>
    <w:p>
      <w:pPr>
        <w:keepNext/>
        <w:spacing w:after="140" w:line="300"/>
      </w:pPr>
      <w:r>
        <w:rPr>
          <w:rFonts w:ascii="Arial" w:cs="Arial" w:eastAsia="Arial" w:hAnsi="Arial"/>
          <w:color w:val="38424F"/>
          <w:sz w:val="21"/>
          <w:szCs w:val="21"/>
        </w:rPr>
        <w:t xml:space="preserve">A sketch of session 9, with results run against the existing 60-row table: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Pr>
        <w:tc>
          <w:tcPr>
            <w:tcW w:type="dxa" w:w="9506"/>
            <w:tcBorders>
              <w:top w:val="single" w:color="BFC8D2" w:sz="4"/>
              <w:left w:val="single" w:color="BFC8D2" w:sz="4"/>
              <w:bottom w:val="single" w:color="BFC8D2" w:sz="4"/>
              <w:right w:val="single" w:color="BFC8D2" w:sz="4"/>
            </w:tcBorders>
            <w:tcMar>
              <w:top w:type="dxa" w:w="100"/>
              <w:left w:type="dxa" w:w="140"/>
              <w:bottom w:type="dxa" w:w="100"/>
              <w:right w:type="dxa" w:w="140"/>
            </w:tcMar>
          </w:tcPr>
          <w:p>
            <w:pPr>
              <w:spacing w:after="0" w:line="252"/>
            </w:pPr>
            <w:r>
              <w:rPr>
                <w:rFonts w:ascii="Courier New" w:cs="Courier New" w:eastAsia="Courier New" w:hAnsi="Courier New"/>
                <w:color w:val="131B26"/>
                <w:sz w:val="18"/>
                <w:szCs w:val="18"/>
              </w:rPr>
              <w:t xml:space="preserve">Question: Which item earns the most?</w:t>
            </w:r>
          </w:p>
          <w:p>
            <w:pPr>
              <w:spacing w:after="0" w:line="252"/>
            </w:pPr>
            <w:r>
              <w:rPr>
                <w:rFonts w:ascii="Courier New" w:cs="Courier New" w:eastAsia="Courier New" w:hAnsi="Courier New"/>
                <w:color w:val="131B26"/>
                <w:sz w:val="18"/>
                <w:szCs w:val="18"/>
              </w:rPr>
              <w:t xml:space="preserve">Words: group, total, sort, column, row, result</w:t>
            </w:r>
          </w:p>
          <w:p>
            <w:pPr>
              <w:spacing w:after="0" w:line="252"/>
            </w:pPr>
            <w:r>
              <w:rPr>
                <w:rFonts w:ascii="Courier New" w:cs="Courier New" w:eastAsia="Courier New" w:hAnsi="Courier New"/>
                <w:color w:val="131B26"/>
                <w:sz w:val="18"/>
                <w:szCs w:val="18"/>
              </w:rPr>
              <w:t xml:space="preserve">Predict: How many rows will this print, and which is largest?</w:t>
            </w:r>
          </w:p>
          <w:p>
            <w:pPr>
              <w:spacing w:after="0" w:line="252"/>
            </w:pPr>
            <w:r>
              <w:rPr>
                <w:rFonts w:ascii="Courier New" w:cs="Courier New" w:eastAsia="Courier New" w:hAnsi="Courier New"/>
                <w:color w:val="131B26"/>
                <w:sz w:val="18"/>
                <w:szCs w:val="18"/>
              </w:rPr>
              <w:t xml:space="preserve">  sales["revenue"] = sales["units"] * sales["unit_price_ugx"]</w:t>
            </w:r>
          </w:p>
          <w:p>
            <w:pPr>
              <w:spacing w:after="0" w:line="252"/>
            </w:pPr>
            <w:r>
              <w:rPr>
                <w:rFonts w:ascii="Courier New" w:cs="Courier New" w:eastAsia="Courier New" w:hAnsi="Courier New"/>
                <w:color w:val="131B26"/>
                <w:sz w:val="18"/>
                <w:szCs w:val="18"/>
              </w:rPr>
              <w:t xml:space="preserve">  print(sales.groupby("item")["revenue"].sum())</w:t>
            </w:r>
          </w:p>
          <w:p>
            <w:pPr>
              <w:spacing w:after="0" w:line="252"/>
            </w:pPr>
            <w:r>
              <w:rPr>
                <w:rFonts w:ascii="Courier New" w:cs="Courier New" w:eastAsia="Courier New" w:hAnsi="Courier New"/>
                <w:color w:val="131B26"/>
                <w:sz w:val="18"/>
                <w:szCs w:val="18"/>
              </w:rPr>
              <w:t xml:space="preserve">Run:     3 rows. Book 297,000; Juice 150,000; Pen 103,000.</w:t>
            </w:r>
          </w:p>
          <w:p>
            <w:pPr>
              <w:spacing w:after="0" w:line="252"/>
            </w:pPr>
            <w:r>
              <w:rPr>
                <w:rFonts w:ascii="Courier New" w:cs="Courier New" w:eastAsia="Courier New" w:hAnsi="Courier New"/>
                <w:color w:val="131B26"/>
                <w:sz w:val="18"/>
                <w:szCs w:val="18"/>
              </w:rPr>
              <w:t xml:space="preserve">Investigate: Add the three. What should it equal? (550,000)</w:t>
            </w:r>
          </w:p>
          <w:p>
            <w:pPr>
              <w:spacing w:after="0" w:line="252"/>
            </w:pPr>
            <w:r>
              <w:rPr>
                <w:rFonts w:ascii="Courier New" w:cs="Courier New" w:eastAsia="Courier New" w:hAnsi="Courier New"/>
                <w:color w:val="131B26"/>
                <w:sz w:val="18"/>
                <w:szCs w:val="18"/>
              </w:rPr>
              <w:t xml:space="preserve">  Sort them largest first with .sort_values(ascending=False).</w:t>
            </w:r>
          </w:p>
          <w:p>
            <w:pPr>
              <w:spacing w:after="0" w:line="252"/>
            </w:pPr>
            <w:r>
              <w:rPr>
                <w:rFonts w:ascii="Courier New" w:cs="Courier New" w:eastAsia="Courier New" w:hAnsi="Courier New"/>
                <w:color w:val="131B26"/>
                <w:sz w:val="18"/>
                <w:szCs w:val="18"/>
              </w:rPr>
              <w:t xml:space="preserve">Modify:  Group by "date" instead. How many rows now? (20)</w:t>
            </w:r>
          </w:p>
          <w:p>
            <w:pPr>
              <w:spacing w:after="0" w:line="252"/>
            </w:pPr>
            <w:r>
              <w:rPr>
                <w:rFonts w:ascii="Courier New" w:cs="Courier New" w:eastAsia="Courier New" w:hAnsi="Courier New"/>
                <w:color w:val="131B26"/>
                <w:sz w:val="18"/>
                <w:szCs w:val="18"/>
              </w:rPr>
              <w:t xml:space="preserve">Make:    The same table for units. Which item sells most?</w:t>
            </w:r>
          </w:p>
          <w:p>
            <w:pPr>
              <w:spacing w:after="0" w:line="252"/>
            </w:pPr>
            <w:r>
              <w:rPr>
                <w:rFonts w:ascii="Courier New" w:cs="Courier New" w:eastAsia="Courier New" w:hAnsi="Courier New"/>
                <w:color w:val="131B26"/>
                <w:sz w:val="18"/>
                <w:szCs w:val="18"/>
              </w:rPr>
              <w:t xml:space="preserve">Error card: KeyError = a column name spelled differently.</w:t>
            </w:r>
          </w:p>
          <w:p>
            <w:pPr>
              <w:spacing w:after="0" w:line="252"/>
            </w:pPr>
            <w:r>
              <w:rPr>
                <w:rFonts w:ascii="Courier New" w:cs="Courier New" w:eastAsia="Courier New" w:hAnsi="Courier New"/>
                <w:color w:val="131B26"/>
                <w:sz w:val="18"/>
                <w:szCs w:val="18"/>
              </w:rPr>
              <w:t xml:space="preserve">  The result looks wrong = print the first rows and check.</w:t>
            </w:r>
          </w:p>
          <w:p>
            <w:pPr>
              <w:spacing w:after="0" w:line="252"/>
            </w:pPr>
            <w:r>
              <w:rPr>
                <w:rFonts w:ascii="Courier New" w:cs="Courier New" w:eastAsia="Courier New" w:hAnsi="Courier New"/>
                <w:color w:val="131B26"/>
                <w:sz w:val="18"/>
                <w:szCs w:val="18"/>
              </w:rPr>
              <w:t xml:space="preserve">Exit ticket: Say in one sentence what groupby does.</w:t>
            </w:r>
          </w:p>
        </w:tc>
      </w:tr>
    </w:tbl>
    <w:p>
      <w:pPr>
        <w:spacing w:after="160"/>
      </w:pPr>
    </w:p>
    <w:p>
      <w:pPr>
        <w:pStyle w:val="Heading1"/>
        <w:keepNext/>
        <w:pBdr>
          <w:bottom w:val="single" w:color="BFC8D2" w:sz="4" w:space="4"/>
        </w:pBdr>
        <w:spacing w:after="160" w:before="360"/>
      </w:pPr>
      <w:r>
        <w:rPr>
          <w:rFonts w:ascii="Cambria" w:cs="Cambria" w:eastAsia="Cambria" w:hAnsi="Cambria"/>
          <w:b/>
          <w:bCs/>
          <w:color w:val="15293A"/>
          <w:sz w:val="32"/>
          <w:szCs w:val="32"/>
        </w:rPr>
        <w:t xml:space="preserve">9. Decisions and next steps</w:t>
      </w:r>
    </w:p>
    <w:p>
      <w:pPr>
        <w:spacing w:after="140" w:line="300"/>
      </w:pPr>
      <w:r>
        <w:rPr>
          <w:rFonts w:ascii="Arial" w:cs="Arial" w:eastAsia="Arial" w:hAnsi="Arial"/>
          <w:color w:val="38424F"/>
          <w:sz w:val="21"/>
          <w:szCs w:val="21"/>
        </w:rPr>
        <w:t xml:space="preserve">Settled by you: SQL is professional-only, the track name is Python for Data Analysis (please confirm the exact wording), the standard stack above, the Sunrise Shops dataset, real public data for projects once licences are read, and the session 1 prediction hook for ML. Open: whether you want the optional neural-network extension, which I have proposed but not built.</w:t>
      </w:r>
    </w:p>
    <w:p>
      <w:pPr>
        <w:spacing w:after="140" w:line="300"/>
      </w:pPr>
      <w:r>
        <w:rPr>
          <w:rFonts w:ascii="Arial" w:cs="Arial" w:eastAsia="Arial" w:hAnsi="Arial"/>
          <w:color w:val="38424F"/>
          <w:sz w:val="21"/>
          <w:szCs w:val="21"/>
        </w:rPr>
        <w:t xml:space="preserve">The order of work is: change schools_camp_content.py and rebuild the curriculum and class plan for both tracks; write the session 9 and session 14 sheets first and pilot them with one beginner, together with the existing pilot sessions ML01, ML05, DA02 and ML14; build the remaining sheets and notebooks; then update the marketing. Several current files mention SQL and DB Browser and need editing: the camp curriculum, class plan and start guide, the instructor setup guide, the student START_HERE in the DA folder, the assessment and project rubrics, and the WhatsApp enquiry copy, which lists SQL among the tools and describes saved SQL queries in the project. I have not checked whether the printed flyers and one-pager mention SQL. None of this has been done.</w:t>
      </w:r>
    </w:p>
    <w:p>
      <w:pPr>
        <w:spacing w:after="140" w:line="300"/>
      </w:pPr>
      <w:r>
        <w:rPr>
          <w:rFonts w:ascii="Arial" w:cs="Arial" w:eastAsia="Arial" w:hAnsi="Arial"/>
          <w:color w:val="38424F"/>
          <w:sz w:val="21"/>
          <w:szCs w:val="21"/>
        </w:rPr>
        <w:t xml:space="preserve">Status, 31 October 2026. The pack has been rebuilt to this structure: 48 student sheets and notebooks, 48 instructor guides, four labs, an extension notebook, two glossaries and error glossaries, per-track curricula and plans, the Sunrise Shops files, updated policy, rubric, setup and marketing files, and new student ZIPs. As built, the top-level folder layout in section 7 is unchanged and the per-track files carry a track suffix in teaching/ (CURRICULUM_DA.md, CLASS_PLAN_ML.md and so on). The sessions that import scikit-learn could not be executed in the build sandbox and need one run of verify_schools_camp.py on a machine with the camp environment. The registration flyer v13 still shows a SQL logo and needs a Mac re-export. File locations changed after this proposal was written: the build scripts and lessons now sit in camp_2026/build, the generated curriculum in camp_2026/curriculum, the policies in camp_2026/handbook, the organiser material in camp_2026/programme and the ZIPs in camp_2026/student_packs. camp_2026/README.md maps every folder.</w:t>
      </w:r>
    </w:p>
    <w:p>
      <w:pPr>
        <w:spacing w:after="140" w:line="300"/>
      </w:pPr>
      <w:r>
        <w:rPr>
          <w:rFonts w:ascii="Arial" w:cs="Arial" w:eastAsia="Arial" w:hAnsi="Arial"/>
          <w:color w:val="38424F"/>
          <w:sz w:val="21"/>
          <w:szCs w:val="21"/>
        </w:rPr>
        <w:t xml:space="preserve">No beginner pilot has been run on any version of this material, and nothing here measures comprehension. The order of the Data Analysis weeks 5 and 6 rests on inference and should be treated as a hypothesis until sessions 14 and 17 have been taught to a real student.</w:t>
      </w:r>
    </w:p>
    <w:p>
      <w:pPr>
        <w:pStyle w:val="Heading1"/>
        <w:keepNext/>
        <w:pBdr>
          <w:bottom w:val="single" w:color="BFC8D2" w:sz="4" w:space="4"/>
        </w:pBdr>
        <w:spacing w:after="160" w:before="360"/>
      </w:pPr>
      <w:r>
        <w:rPr>
          <w:rFonts w:ascii="Cambria" w:cs="Cambria" w:eastAsia="Cambria" w:hAnsi="Cambria"/>
          <w:b/>
          <w:bCs/>
          <w:color w:val="15293A"/>
          <w:sz w:val="32"/>
          <w:szCs w:val="32"/>
        </w:rPr>
        <w:t xml:space="preserve">Appendix. Measured density of the current sheets</w:t>
      </w:r>
    </w:p>
    <w:p>
      <w:pPr>
        <w:spacing w:after="140" w:line="300"/>
      </w:pPr>
      <w:r>
        <w:rPr>
          <w:rFonts w:ascii="Arial" w:cs="Arial" w:eastAsia="Arial" w:hAnsi="Arial"/>
          <w:color w:val="38424F"/>
          <w:sz w:val="21"/>
          <w:szCs w:val="21"/>
        </w:rPr>
        <w:t xml:space="preserve">Words in the “Understand the idea” section and lines of code in the sheet, counted from the student sheets in camp_2026/student_materials as they stand today. The SQL sessions 13 to 17 are listed because they show how little the current track gave that block.</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4706"/>
      </w:tblGrid>
      <w:tr>
        <w:trPr>
          <w:cantSplit/>
          <w:tblHeader/>
        </w:trPr>
        <w:tc>
          <w:tcPr>
            <w:tcW w:type="dxa" w:w="18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b/>
                <w:bCs/>
                <w:color w:val="131B26"/>
                <w:sz w:val="18"/>
                <w:szCs w:val="18"/>
              </w:rPr>
              <w:t xml:space="preserve">Session</w:t>
            </w:r>
          </w:p>
        </w:tc>
        <w:tc>
          <w:tcPr>
            <w:tcW w:type="dxa" w:w="15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b/>
                <w:bCs/>
                <w:color w:val="131B26"/>
                <w:sz w:val="18"/>
                <w:szCs w:val="18"/>
              </w:rPr>
              <w:t xml:space="preserve">Words</w:t>
            </w:r>
          </w:p>
        </w:tc>
        <w:tc>
          <w:tcPr>
            <w:tcW w:type="dxa" w:w="15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b/>
                <w:bCs/>
                <w:color w:val="131B26"/>
                <w:sz w:val="18"/>
                <w:szCs w:val="18"/>
              </w:rPr>
              <w:t xml:space="preserve">Code lines</w:t>
            </w:r>
          </w:p>
        </w:tc>
        <w:tc>
          <w:tcPr>
            <w:tcW w:type="dxa" w:w="47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b/>
                <w:bCs/>
                <w:color w:val="131B26"/>
                <w:sz w:val="18"/>
                <w:szCs w:val="18"/>
              </w:rPr>
              <w:t xml:space="preserve">Note</w:t>
            </w:r>
          </w:p>
        </w:tc>
      </w:tr>
      <w:tr>
        <w:trPr>
          <w:cantSplit/>
        </w:trPr>
        <w:tc>
          <w:tcPr>
            <w:tcW w:type="dxa" w:w="18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color w:val="38424F"/>
                <w:sz w:val="18"/>
                <w:szCs w:val="18"/>
              </w:rPr>
              <w:t xml:space="preserve">ML/DA 1</w:t>
            </w:r>
          </w:p>
        </w:tc>
        <w:tc>
          <w:tcPr>
            <w:tcW w:type="dxa" w:w="15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color w:val="38424F"/>
                <w:sz w:val="18"/>
                <w:szCs w:val="18"/>
              </w:rPr>
              <w:t xml:space="preserve">85</w:t>
            </w:r>
          </w:p>
        </w:tc>
        <w:tc>
          <w:tcPr>
            <w:tcW w:type="dxa" w:w="15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color w:val="38424F"/>
                <w:sz w:val="18"/>
                <w:szCs w:val="18"/>
              </w:rPr>
              <w:t xml:space="preserve">2</w:t>
            </w:r>
          </w:p>
        </w:tc>
        <w:tc>
          <w:tcPr>
            <w:tcW w:type="dxa" w:w="47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color w:val="38424F"/>
                <w:sz w:val="18"/>
                <w:szCs w:val="18"/>
              </w:rPr>
              <w:t xml:space="preserve">Shared text</w:t>
            </w:r>
          </w:p>
        </w:tc>
      </w:tr>
      <w:tr>
        <w:trPr>
          <w:cantSplit/>
        </w:trPr>
        <w:tc>
          <w:tcPr>
            <w:tcW w:type="dxa" w:w="18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color w:val="38424F"/>
                <w:sz w:val="18"/>
                <w:szCs w:val="18"/>
              </w:rPr>
              <w:t xml:space="preserve">ML/DA 3</w:t>
            </w:r>
          </w:p>
        </w:tc>
        <w:tc>
          <w:tcPr>
            <w:tcW w:type="dxa" w:w="15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color w:val="38424F"/>
                <w:sz w:val="18"/>
                <w:szCs w:val="18"/>
              </w:rPr>
              <w:t xml:space="preserve">61</w:t>
            </w:r>
          </w:p>
        </w:tc>
        <w:tc>
          <w:tcPr>
            <w:tcW w:type="dxa" w:w="15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color w:val="38424F"/>
                <w:sz w:val="18"/>
                <w:szCs w:val="18"/>
              </w:rPr>
              <w:t xml:space="preserve">5</w:t>
            </w:r>
          </w:p>
        </w:tc>
        <w:tc>
          <w:tcPr>
            <w:tcW w:type="dxa" w:w="47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spacing w:after="40" w:line="264"/>
            </w:pPr>
            <w:r>
              <w:rPr>
                <w:rFonts w:ascii="Arial" w:cs="Arial" w:eastAsia="Arial" w:hAnsi="Arial"/>
                <w:color w:val="38424F"/>
                <w:sz w:val="18"/>
                <w:szCs w:val="18"/>
              </w:rPr>
              <w:t xml:space="preserve">Shared text</w:t>
            </w:r>
          </w:p>
        </w:tc>
      </w:tr>
      <w:tr>
        <w:trPr>
          <w:cantSplit/>
        </w:trPr>
        <w:tc>
          <w:tcPr>
            <w:tcW w:type="dxa" w:w="18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ML/DA 7</w:t>
            </w:r>
          </w:p>
        </w:tc>
        <w:tc>
          <w:tcPr>
            <w:tcW w:type="dxa" w:w="15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139</w:t>
            </w:r>
          </w:p>
        </w:tc>
        <w:tc>
          <w:tcPr>
            <w:tcW w:type="dxa" w:w="15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7</w:t>
            </w:r>
          </w:p>
        </w:tc>
        <w:tc>
          <w:tcPr>
            <w:tcW w:type="dxa" w:w="47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Shared text; about eighteen new terms</w:t>
            </w:r>
          </w:p>
        </w:tc>
      </w:tr>
      <w:tr>
        <w:trPr>
          <w:cantSplit/>
        </w:trPr>
        <w:tc>
          <w:tcPr>
            <w:tcW w:type="dxa" w:w="18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DA 9</w:t>
            </w:r>
          </w:p>
        </w:tc>
        <w:tc>
          <w:tcPr>
            <w:tcW w:type="dxa" w:w="15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140</w:t>
            </w:r>
          </w:p>
        </w:tc>
        <w:tc>
          <w:tcPr>
            <w:tcW w:type="dxa" w:w="15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6</w:t>
            </w:r>
          </w:p>
        </w:tc>
        <w:tc>
          <w:tcPr>
            <w:tcW w:type="dxa" w:w="47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Shared text plus a paragraph on proportions</w:t>
            </w:r>
          </w:p>
        </w:tc>
      </w:tr>
      <w:tr>
        <w:trPr>
          <w:cantSplit/>
        </w:trPr>
        <w:tc>
          <w:tcPr>
            <w:tcW w:type="dxa" w:w="18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ML 15</w:t>
            </w:r>
          </w:p>
        </w:tc>
        <w:tc>
          <w:tcPr>
            <w:tcW w:type="dxa" w:w="15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112</w:t>
            </w:r>
          </w:p>
        </w:tc>
        <w:tc>
          <w:tcPr>
            <w:tcW w:type="dxa" w:w="15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13</w:t>
            </w:r>
          </w:p>
        </w:tc>
        <w:tc>
          <w:tcPr>
            <w:tcW w:type="dxa" w:w="47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Split, baseline and error measure together</w:t>
            </w:r>
          </w:p>
        </w:tc>
      </w:tr>
      <w:tr>
        <w:trPr>
          <w:cantSplit/>
        </w:trPr>
        <w:tc>
          <w:tcPr>
            <w:tcW w:type="dxa" w:w="18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ML 16</w:t>
            </w:r>
          </w:p>
        </w:tc>
        <w:tc>
          <w:tcPr>
            <w:tcW w:type="dxa" w:w="15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111</w:t>
            </w:r>
          </w:p>
        </w:tc>
        <w:tc>
          <w:tcPr>
            <w:tcW w:type="dxa" w:w="15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11</w:t>
            </w:r>
          </w:p>
        </w:tc>
        <w:tc>
          <w:tcPr>
            <w:tcW w:type="dxa" w:w="47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Classification, tree, stratify, accuracy</w:t>
            </w:r>
          </w:p>
        </w:tc>
      </w:tr>
      <w:tr>
        <w:trPr>
          <w:cantSplit/>
        </w:trPr>
        <w:tc>
          <w:tcPr>
            <w:tcW w:type="dxa" w:w="18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DA 13</w:t>
            </w:r>
          </w:p>
        </w:tc>
        <w:tc>
          <w:tcPr>
            <w:tcW w:type="dxa" w:w="15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47</w:t>
            </w:r>
          </w:p>
        </w:tc>
        <w:tc>
          <w:tcPr>
            <w:tcW w:type="dxa" w:w="15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1</w:t>
            </w:r>
          </w:p>
        </w:tc>
        <w:tc>
          <w:tcPr>
            <w:tcW w:type="dxa" w:w="47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First SQL (to be replaced)</w:t>
            </w:r>
          </w:p>
        </w:tc>
      </w:tr>
      <w:tr>
        <w:trPr>
          <w:cantSplit/>
        </w:trPr>
        <w:tc>
          <w:tcPr>
            <w:tcW w:type="dxa" w:w="18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DA 14</w:t>
            </w:r>
          </w:p>
        </w:tc>
        <w:tc>
          <w:tcPr>
            <w:tcW w:type="dxa" w:w="15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39</w:t>
            </w:r>
          </w:p>
        </w:tc>
        <w:tc>
          <w:tcPr>
            <w:tcW w:type="dxa" w:w="15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1</w:t>
            </w:r>
          </w:p>
        </w:tc>
        <w:tc>
          <w:tcPr>
            <w:tcW w:type="dxa" w:w="47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WHERE, ORDER BY, LIMIT (to be replaced)</w:t>
            </w:r>
          </w:p>
        </w:tc>
      </w:tr>
      <w:tr>
        <w:trPr>
          <w:cantSplit/>
        </w:trPr>
        <w:tc>
          <w:tcPr>
            <w:tcW w:type="dxa" w:w="18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DA 15</w:t>
            </w:r>
          </w:p>
        </w:tc>
        <w:tc>
          <w:tcPr>
            <w:tcW w:type="dxa" w:w="15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37</w:t>
            </w:r>
          </w:p>
        </w:tc>
        <w:tc>
          <w:tcPr>
            <w:tcW w:type="dxa" w:w="15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1</w:t>
            </w:r>
          </w:p>
        </w:tc>
        <w:tc>
          <w:tcPr>
            <w:tcW w:type="dxa" w:w="47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SUM, COUNT, GROUP BY (to be replaced)</w:t>
            </w:r>
          </w:p>
        </w:tc>
      </w:tr>
      <w:tr>
        <w:trPr>
          <w:cantSplit/>
        </w:trPr>
        <w:tc>
          <w:tcPr>
            <w:tcW w:type="dxa" w:w="18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DA 16</w:t>
            </w:r>
          </w:p>
        </w:tc>
        <w:tc>
          <w:tcPr>
            <w:tcW w:type="dxa" w:w="15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46</w:t>
            </w:r>
          </w:p>
        </w:tc>
        <w:tc>
          <w:tcPr>
            <w:tcW w:type="dxa" w:w="15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1</w:t>
            </w:r>
          </w:p>
        </w:tc>
        <w:tc>
          <w:tcPr>
            <w:tcW w:type="dxa" w:w="47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JOIN (to be replaced)</w:t>
            </w:r>
          </w:p>
        </w:tc>
      </w:tr>
      <w:tr>
        <w:trPr>
          <w:cantSplit/>
        </w:trPr>
        <w:tc>
          <w:tcPr>
            <w:tcW w:type="dxa" w:w="18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DA 17</w:t>
            </w:r>
          </w:p>
        </w:tc>
        <w:tc>
          <w:tcPr>
            <w:tcW w:type="dxa" w:w="15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44</w:t>
            </w:r>
          </w:p>
        </w:tc>
        <w:tc>
          <w:tcPr>
            <w:tcW w:type="dxa" w:w="1500"/>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2</w:t>
            </w:r>
          </w:p>
        </w:tc>
        <w:tc>
          <w:tcPr>
            <w:tcW w:type="dxa" w:w="4706"/>
            <w:tcBorders>
              <w:top w:val="single" w:color="BFC8D2" w:sz="4"/>
              <w:left w:val="single" w:color="BFC8D2" w:sz="4"/>
              <w:bottom w:val="single" w:color="BFC8D2" w:sz="4"/>
              <w:right w:val="single" w:color="BFC8D2" w:sz="4"/>
            </w:tcBorders>
            <w:shd w:fill="FFFFFF" w:val="clear"/>
            <w:tcMar>
              <w:top w:type="dxa" w:w="70"/>
              <w:left w:type="dxa" w:w="100"/>
              <w:bottom w:type="dxa" w:w="50"/>
              <w:right w:type="dxa" w:w="100"/>
            </w:tcMar>
          </w:tcPr>
          <w:p>
            <w:pPr>
              <w:keepNext w:val="false"/>
              <w:spacing w:after="40" w:line="264"/>
            </w:pPr>
            <w:r>
              <w:rPr>
                <w:rFonts w:ascii="Arial" w:cs="Arial" w:eastAsia="Arial" w:hAnsi="Arial"/>
                <w:color w:val="38424F"/>
                <w:sz w:val="18"/>
                <w:szCs w:val="18"/>
              </w:rPr>
              <w:t xml:space="preserve">NULL and validation (to be replaced)</w:t>
            </w:r>
          </w:p>
        </w:tc>
      </w:tr>
    </w:tbl>
    <w:p>
      <w:pPr>
        <w:spacing w:after="160"/>
      </w:pPr>
    </w:p>
    <w:p>
      <w:pPr>
        <w:spacing w:after="140" w:line="300"/>
      </w:pPr>
      <w:r>
        <w:rPr>
          <w:rFonts w:ascii="Arial" w:cs="Arial" w:eastAsia="Arial" w:hAnsi="Arial"/>
          <w:color w:val="5A6674"/>
          <w:sz w:val="18"/>
          <w:szCs w:val="18"/>
        </w:rPr>
        <w:t xml:space="preserve">Sessions 1 to 8, 10 and 11 have identical definition text in the two tracks. All 48 guides repeat one pacing line and one set of questions.</w:t>
      </w:r>
    </w:p>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8D2" w:sz="4" w:space="6"/>
      </w:pBdr>
      <w:jc w:val="right"/>
    </w:pPr>
    <w:r>
      <w:rPr>
        <w:rFonts w:ascii="Arial" w:cs="Arial" w:eastAsia="Arial" w:hAnsi="Arial"/>
        <w:color w:val="5A6674"/>
        <w:sz w:val="18"/>
        <w:szCs w:val="18"/>
      </w:rPr>
      <w:t xml:space="preserve">Holiday Data and AI Camp. Restructuring proposal. Page </w:t>
    </w:r>
    <w:r>
      <w:rPr>
        <w:rFonts w:ascii="Arial" w:cs="Arial" w:eastAsia="Arial" w:hAnsi="Arial"/>
        <w:color w:val="5A667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Holiday Data and AI Camp: restructuring proposal</dc:title>
  <dc:creator>Jotham Wambi</dc:creator>
  <cp:lastModifiedBy>Un-named</cp:lastModifiedBy>
  <cp:revision>1</cp:revision>
  <dcterms:created xsi:type="dcterms:W3CDTF">2026-10-31T09:10:05.731Z</dcterms:created>
  <dcterms:modified xsi:type="dcterms:W3CDTF">2026-10-31T09:10:05.731Z</dcterms:modified>
</cp:coreProperties>
</file>

<file path=docProps/custom.xml><?xml version="1.0" encoding="utf-8"?>
<Properties xmlns="http://schemas.openxmlformats.org/officeDocument/2006/custom-properties" xmlns:vt="http://schemas.openxmlformats.org/officeDocument/2006/docPropsVTypes"/>
</file>