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class checklist</w:t>
      </w:r>
    </w:p>
    <w:p>
      <w:r>
        <w:t>Lecturer guide • Updated 21 September 2026 • Kampala time</w:t>
      </w:r>
    </w:p>
    <w:p>
      <w:r>
        <w:t>For the remaining CML3111 and CML3113 Week 2 classes. Teach from the matching PowerPoint. Page 2 has owner controls and student links.</w:t>
      </w:r>
    </w:p>
    <w:p>
      <w:pPr>
        <w:pStyle w:val="Heading1"/>
      </w:pPr>
      <w:r>
        <w:t>Before class</w:t>
      </w:r>
    </w:p>
    <w:p>
      <w:r>
        <w:t>1. Share the cohort W02 student ZIP. Students download, extract and read 00_START_HERE.txt. They start the notebooks with you in class.</w:t>
      </w:r>
    </w:p>
    <w:p>
      <w:r>
        <w:t>2. Open the revised PowerPoint, extracted ZIP and Week2 Repair Walkthrough. Test the projector, Colab, supplied CSV and a fresh run of proof_of_life.ipynb.</w:t>
      </w:r>
    </w:p>
    <w:p>
      <w:r>
        <w:t>3. Announce FOUR tasks: Week 1 Assignment A1, Week 1 Quiz 1, Week 2 Assignment A2 and Week 2 Quiz 2. A1 and A2 use separate upload forms.</w:t>
      </w:r>
    </w:p>
    <w:p>
      <w:pPr>
        <w:pStyle w:val="Heading1"/>
      </w:pPr>
      <w:r>
        <w:t>Teach in the slide order</w:t>
      </w:r>
    </w:p>
    <w:p>
      <w:r>
        <w:t>4. Define files, cells, numbers, values and variables before using assignment syntax or explaining notebook memory. Explain every new symbol, predict the result, then run it.</w:t>
      </w:r>
    </w:p>
    <w:p>
      <w:r>
        <w:t>5. Start proof_of_life.ipynb together. Demonstrate cells, CSV upload and repeated execution. Model repair 01; guide attempts at 02–03; trace 04 together. These are practice, not extra submissions.</w:t>
      </w:r>
    </w:p>
    <w:p>
      <w:r>
        <w:t>6. Return to the main notebook. Students write their explanation, restart and Run all, then download their completed notebook. Show the repository and README steps in the slides.</w:t>
      </w:r>
    </w:p>
    <w:p>
      <w:r>
        <w:t>hello_engineering.py is an optional script demonstration. Students do not submit it, the ZIP or the four repair notebooks.</w:t>
      </w:r>
    </w:p>
    <w:p>
      <w:pPr>
        <w:pStyle w:val="Heading1"/>
      </w:pPr>
      <w:r>
        <w:t>Explain the two assignments</w:t>
      </w:r>
    </w:p>
    <w:p>
      <w:r>
        <w:t>A1: three engineering problems; for each, possible inputs, target where appropriate, data source, limitation and ML suitability. Choose one problem/dataset and justify it. Upload a complete DOCX or selectable-text PDF; narrated PPTX or notebook evidence is also accepted.</w:t>
      </w:r>
    </w:p>
    <w:p>
      <w:r>
        <w:t>A2: upload the completed main notebook AND the student’s own README.md together. Enter the repository URL. The README states programme, files and run instructions. A replacement submission must contain both files again.</w:t>
      </w:r>
    </w:p>
    <w:p>
      <w:r>
        <w:t>Upload deadlines for BOTH A1 and A2: CML3113 — Friday 25 September, 08:00; CML3111 — Friday 25 September, 11:00. These are the existing published deadlines; confirm any timetable change before class.</w:t>
      </w:r>
    </w:p>
    <w:p>
      <w:pPr>
        <w:pStyle w:val="Heading1"/>
      </w:pPr>
      <w:r>
        <w:t>Before dismissal</w:t>
      </w:r>
    </w:p>
    <w:p>
      <w:r>
        <w:t>7. Activate Quiz 1 and Quiz 2 when you announce them. Each stays open for 24 hours from its own activation. Tell students the exact closing times and remind them to press Submit.</w:t>
      </w:r>
    </w:p>
    <w:p>
      <w:r>
        <w:t>8. Students enter their own Student Registration Number exactly as on their record. The required field now accepts any format. Refresh an already-open form if an old pattern warning remains. Keep local copies and each confirmation.</w:t>
      </w:r>
    </w:p>
    <w:p>
      <w:r>
        <w:br w:type="page"/>
      </w:r>
    </w:p>
    <w:p>
      <w:pPr>
        <w:pStyle w:val="Title"/>
      </w:pPr>
      <w:r>
        <w:t>Controls and student links</w:t>
      </w:r>
    </w:p>
    <w:p>
      <w:r>
        <w:t>Sign into owner controls only as wirmbeesubs@gmail.com. If a controls link fails with multiple Google accounts, use a private window signed into this account only. Share responder links with students, never these owner controls.</w:t>
      </w:r>
    </w:p>
    <w:p>
      <w:pPr>
        <w:pStyle w:val="Heading1"/>
      </w:pPr>
      <w:r>
        <w:t>Assignment uploads</w:t>
      </w:r>
    </w:p>
    <w:p>
      <w:r>
        <w:t>A1 catch-up and scheduled A2 uploads accept work until the cohort deadlines on page 1. The scheduler closes them automatically. If a due opening is missing, run syncSubmissions in Assignment controls, wait for completion and refresh the student link. Do not rebuild forms.</w:t>
      </w:r>
    </w:p>
    <w:p>
      <w:hyperlink r:id="rId9">
        <w:r>
          <w:rPr>
            <w:color w:val="0563C1"/>
            <w:u w:val="single"/>
          </w:rPr>
          <w:t>Assignment controls — Apps Script</w:t>
        </w:r>
      </w:hyperlink>
    </w:p>
    <w:p>
      <w:hyperlink r:id="rId10">
        <w:r>
          <w:rPr>
            <w:color w:val="0563C1"/>
            <w:u w:val="single"/>
          </w:rPr>
          <w:t>Assignment links index — Assignment links tab</w:t>
        </w:r>
      </w:hyperlink>
    </w:p>
    <w:p>
      <w:pPr>
        <w:pStyle w:val="Heading1"/>
      </w:pPr>
      <w:r>
        <w:t>Activate BOTH quizzes for the correct cohort</w:t>
      </w:r>
    </w:p>
    <w:p>
      <w:r>
        <w:t>In Quiz controls, select open_W1_CML3113 and Run once for CML3113 Quiz 1; select open_W2_CML3113 for Quiz 2. For CML3111, use open_W1_CML3111 and open_W2_CML3111.</w:t>
      </w:r>
    </w:p>
    <w:p>
      <w:r>
        <w:t>Run only when students are told to start. Each activation starts a separate 24-hour window. Wait for Execution completed, announce the logged deadline and check the student link. Re-running resets the window; use closeStatus to inspect it without reopening.</w:t>
      </w:r>
    </w:p>
    <w:p>
      <w:hyperlink r:id="rId11">
        <w:r>
          <w:rPr>
            <w:color w:val="0563C1"/>
            <w:u w:val="single"/>
          </w:rPr>
          <w:t>Quiz controls — IUEA ML Quizzes</w:t>
        </w:r>
      </w:hyperlink>
    </w:p>
    <w:p>
      <w:pPr>
        <w:pStyle w:val="Heading1"/>
      </w:pPr>
      <w:r>
        <w:t>CML3113 student links</w:t>
      </w:r>
    </w:p>
    <w:p>
      <w:hyperlink r:id="rId12">
        <w:r>
          <w:rPr>
            <w:color w:val="0563C1"/>
            <w:u w:val="single"/>
          </w:rPr>
          <w:t>A1 upload — Week 1</w:t>
        </w:r>
      </w:hyperlink>
    </w:p>
    <w:p>
      <w:hyperlink r:id="rId13">
        <w:r>
          <w:rPr>
            <w:color w:val="0563C1"/>
            <w:u w:val="single"/>
          </w:rPr>
          <w:t>A2 upload — Week 2</w:t>
        </w:r>
      </w:hyperlink>
    </w:p>
    <w:p>
      <w:hyperlink r:id="rId14">
        <w:r>
          <w:rPr>
            <w:color w:val="0563C1"/>
            <w:u w:val="single"/>
          </w:rPr>
          <w:t>Quiz 1 — Week 1</w:t>
        </w:r>
      </w:hyperlink>
    </w:p>
    <w:p>
      <w:hyperlink r:id="rId15">
        <w:r>
          <w:rPr>
            <w:color w:val="0563C1"/>
            <w:u w:val="single"/>
          </w:rPr>
          <w:t>Quiz 2 — Week 2</w:t>
        </w:r>
      </w:hyperlink>
    </w:p>
    <w:p>
      <w:pPr>
        <w:pStyle w:val="Heading1"/>
      </w:pPr>
      <w:r>
        <w:t>CML3111 student links</w:t>
      </w:r>
    </w:p>
    <w:p>
      <w:hyperlink r:id="rId16">
        <w:r>
          <w:rPr>
            <w:color w:val="0563C1"/>
            <w:u w:val="single"/>
          </w:rPr>
          <w:t>A1 upload — Week 1</w:t>
        </w:r>
      </w:hyperlink>
    </w:p>
    <w:p>
      <w:hyperlink r:id="rId17">
        <w:r>
          <w:rPr>
            <w:color w:val="0563C1"/>
            <w:u w:val="single"/>
          </w:rPr>
          <w:t>A2 upload — Week 2</w:t>
        </w:r>
      </w:hyperlink>
    </w:p>
    <w:p>
      <w:hyperlink r:id="rId18">
        <w:r>
          <w:rPr>
            <w:color w:val="0563C1"/>
            <w:u w:val="single"/>
          </w:rPr>
          <w:t>Quiz 1 — Week 1</w:t>
        </w:r>
      </w:hyperlink>
    </w:p>
    <w:p>
      <w:hyperlink r:id="rId19">
        <w:r>
          <w:rPr>
            <w:color w:val="0563C1"/>
            <w:u w:val="single"/>
          </w:rPr>
          <w:t>Quiz 2 — Week 2</w:t>
        </w:r>
      </w:hyperlink>
    </w:p>
    <w:p>
      <w:r>
        <w:t>Completed CML3112 class: its A1/A2 upload deadline remains 22 September at 11:00. Its earlier Quiz 1 window has ended; do not reopen it inadvertently. Existing Week 1 marks remain protected; new written grading awaits validation.</w:t>
      </w:r>
    </w:p>
    <w:sectPr w:rsidR="00FC693F" w:rsidRPr="0006063C" w:rsidSect="00034616">
      <w:footerReference w:type="default" r:id="rId2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IUEA • Lecturer use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ript.google.com/home/projects/1XLdUAzi6wnSjQ2iFTV3hl5BQk9XWw-PIi1_vodC_l107B6S13yW_ZObw/edit" TargetMode="External"/><Relationship Id="rId10" Type="http://schemas.openxmlformats.org/officeDocument/2006/relationships/hyperlink" Target="https://docs.google.com/spreadsheets/d/1FxAVXwSvLEd7TEd3pJ2E0_ka7Mp6ZM6pW1yNsXKWdm4/edit" TargetMode="External"/><Relationship Id="rId11" Type="http://schemas.openxmlformats.org/officeDocument/2006/relationships/hyperlink" Target="https://script.google.com/home/projects/1J7ePAMAAMbNzmAlPl-WtuiSDru5VXfZ1E2211YlxKDy0l9VOPogFhz7_/edit" TargetMode="External"/><Relationship Id="rId12" Type="http://schemas.openxmlformats.org/officeDocument/2006/relationships/hyperlink" Target="https://docs.google.com/forms/d/e/1FAIpQLSc7TlczqFeKIMIT4fVxzIp5iZqi07l4b1tGOavTzBN5-nna4A/viewform" TargetMode="External"/><Relationship Id="rId13" Type="http://schemas.openxmlformats.org/officeDocument/2006/relationships/hyperlink" Target="https://docs.google.com/forms/d/e/1FAIpQLSf5sCKyFfSZ0Xxo8bU_bQCVYDZ5ESgeGf3logWsIfJ9y5PUIg/viewform" TargetMode="External"/><Relationship Id="rId14" Type="http://schemas.openxmlformats.org/officeDocument/2006/relationships/hyperlink" Target="https://forms.gle/yMVr6wzmyFqNUESv8" TargetMode="External"/><Relationship Id="rId15" Type="http://schemas.openxmlformats.org/officeDocument/2006/relationships/hyperlink" Target="https://forms.gle/98nRi1kV2tLjPzZw7" TargetMode="External"/><Relationship Id="rId16" Type="http://schemas.openxmlformats.org/officeDocument/2006/relationships/hyperlink" Target="https://docs.google.com/forms/d/e/1FAIpQLSeE677AvoxTAOJSdCV5bVYWu34RHPg5tsOLqUVS1E7EVI8sYg/viewform" TargetMode="External"/><Relationship Id="rId17" Type="http://schemas.openxmlformats.org/officeDocument/2006/relationships/hyperlink" Target="https://docs.google.com/forms/d/e/1FAIpQLSfjyYUtobO5sgIWH30AidQu7Sx8bcmH6lSbtHQv-9SISaEDqA/viewform" TargetMode="External"/><Relationship Id="rId18" Type="http://schemas.openxmlformats.org/officeDocument/2006/relationships/hyperlink" Target="https://forms.gle/ChK3D2sopncRbbLx5" TargetMode="External"/><Relationship Id="rId19" Type="http://schemas.openxmlformats.org/officeDocument/2006/relationships/hyperlink" Target="https://forms.gle/326KYcY6JvBqbPa78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