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2 lecturer runsheet</w:t>
      </w:r>
    </w:p>
    <w:p>
      <w:r>
        <w:t>15 and 18 September 2026 | Three hours per cohort | Kampala time</w:t>
      </w:r>
    </w:p>
    <w:p>
      <w:r>
        <w:t>Teach notebooks and version control using Colab. The operational priority is that each student runs and saves their own work. Use the small supplied kit and pre-provisioned lab fallback.</w:t>
      </w:r>
    </w:p>
    <w:p>
      <w:pPr>
        <w:pStyle w:val="Heading1"/>
      </w:pPr>
      <w:r>
        <w:t>Before students arrive</w:t>
      </w:r>
    </w:p>
    <w:p>
      <w:pPr>
        <w:pStyle w:val="ListBullet"/>
      </w:pPr>
      <w:r>
        <w:t>Test Google and GitHub sign-in from a student account. Verify the assignment form and correct Week 2 quiz.</w:t>
      </w:r>
    </w:p>
    <w:p>
      <w:pPr>
        <w:pStyle w:val="ListBullet"/>
      </w:pPr>
      <w:r>
        <w:t>Share the cohort student ZIP before class; students download and extract it, without doing the exercises yet. Keep a USB copy and rehearse the lab fallback.</w:t>
      </w:r>
    </w:p>
    <w:p>
      <w:pPr>
        <w:pStyle w:val="ListBullet"/>
      </w:pPr>
      <w:r>
        <w:t>Check projector readability, room power and the CSV upload step. Brief floor helpers to resolve access issues while teaching continues.</w:t>
      </w:r>
    </w:p>
    <w:p>
      <w:pPr>
        <w:pStyle w:val="ListBullet"/>
      </w:pPr>
      <w:r>
        <w:t>Preserve Week 1 submissions. A2 is W02 in the gradebook; the second quiz is Q2.</w:t>
      </w:r>
    </w:p>
    <w:p>
      <w:pPr>
        <w:pStyle w:val="Heading1"/>
      </w:pPr>
      <w:r>
        <w:t>Teaching timetable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Elapsed time</w:t>
            </w:r>
          </w:p>
        </w:tc>
        <w:tc>
          <w:tcPr>
            <w:tcW w:type="dxa" w:w="4819"/>
          </w:tcPr>
          <w:p>
            <w:r>
              <w:t>Teaching activity</w:t>
            </w:r>
          </w:p>
        </w:tc>
      </w:tr>
      <w:tr>
        <w:tc>
          <w:tcPr>
            <w:tcW w:type="dxa" w:w="4819"/>
          </w:tcPr>
          <w:p>
            <w:r>
              <w:t>00–30</w:t>
            </w:r>
          </w:p>
        </w:tc>
        <w:tc>
          <w:tcPr>
            <w:tcW w:type="dxa" w:w="4819"/>
          </w:tcPr>
          <w:p>
            <w:r>
              <w:t>Recall and four-tool map</w:t>
            </w:r>
          </w:p>
        </w:tc>
      </w:tr>
      <w:tr>
        <w:tc>
          <w:tcPr>
            <w:tcW w:type="dxa" w:w="4819"/>
          </w:tcPr>
          <w:p>
            <w:r>
              <w:t>30–100</w:t>
            </w:r>
          </w:p>
        </w:tc>
        <w:tc>
          <w:tcPr>
            <w:tcW w:type="dxa" w:w="4819"/>
          </w:tcPr>
          <w:p>
            <w:r>
              <w:t>Start proof_of_life; model repair 01, let students try 02–03, guide 04; return to proof_of_life and fresh run</w:t>
            </w:r>
          </w:p>
        </w:tc>
      </w:tr>
      <w:tr>
        <w:tc>
          <w:tcPr>
            <w:tcW w:type="dxa" w:w="4819"/>
          </w:tcPr>
          <w:p>
            <w:r>
              <w:t>100–110</w:t>
            </w:r>
          </w:p>
        </w:tc>
        <w:tc>
          <w:tcPr>
            <w:tcW w:type="dxa" w:w="4819"/>
          </w:tcPr>
          <w:p>
            <w:r>
              <w:t>Break</w:t>
            </w:r>
          </w:p>
        </w:tc>
      </w:tr>
      <w:tr>
        <w:tc>
          <w:tcPr>
            <w:tcW w:type="dxa" w:w="4819"/>
          </w:tcPr>
          <w:p>
            <w:r>
              <w:t>110–160</w:t>
            </w:r>
          </w:p>
        </w:tc>
        <w:tc>
          <w:tcPr>
            <w:tcW w:type="dxa" w:w="4819"/>
          </w:tcPr>
          <w:p>
            <w:r>
              <w:t>Git explanation and repository practical</w:t>
            </w:r>
          </w:p>
        </w:tc>
      </w:tr>
      <w:tr>
        <w:tc>
          <w:tcPr>
            <w:tcW w:type="dxa" w:w="4819"/>
          </w:tcPr>
          <w:p>
            <w:r>
              <w:t>160–170</w:t>
            </w:r>
          </w:p>
        </w:tc>
        <w:tc>
          <w:tcPr>
            <w:tcW w:type="dxa" w:w="4819"/>
          </w:tcPr>
          <w:p>
            <w:r>
              <w:t>Repair recap and individual help; verify main notebook and own README</w:t>
            </w:r>
          </w:p>
        </w:tc>
      </w:tr>
      <w:tr>
        <w:tc>
          <w:tcPr>
            <w:tcW w:type="dxa" w:w="4819"/>
          </w:tcPr>
          <w:p>
            <w:r>
              <w:t>170–175</w:t>
            </w:r>
          </w:p>
        </w:tc>
        <w:tc>
          <w:tcPr>
            <w:tcW w:type="dxa" w:w="4819"/>
          </w:tcPr>
          <w:p>
            <w:r>
              <w:t>Five-question Week 2 quiz</w:t>
            </w:r>
          </w:p>
        </w:tc>
      </w:tr>
      <w:tr>
        <w:tc>
          <w:tcPr>
            <w:tcW w:type="dxa" w:w="4819"/>
          </w:tcPr>
          <w:p>
            <w:r>
              <w:t>175–180</w:t>
            </w:r>
          </w:p>
        </w:tc>
        <w:tc>
          <w:tcPr>
            <w:tcW w:type="dxa" w:w="4819"/>
          </w:tcPr>
          <w:p>
            <w:r>
              <w:t>A2 submission instructions and exit check</w:t>
            </w:r>
          </w:p>
        </w:tc>
      </w:tr>
    </w:tbl>
    <w:p>
      <w:pPr>
        <w:pStyle w:val="Heading1"/>
      </w:pPr>
      <w:r>
        <w:t>Opening forms</w:t>
      </w:r>
    </w:p>
    <w:p>
      <w:r>
        <w:t>Use IUEA_ML_Quick_Class_Checklist.docx for clickable owner controls. Assignment uploads open and close on their published schedule; run syncSubmissions in the assignment project if a due opening has not appeared. In the separate quiz project, select open_W2_CML3112, open_W2_CML3113 or open_W2_CML3111 and Run once when introducing the quiz. Re-running resets its 24-hour window. CML3112 Week 1 catch-up quiz closes 16 September at 06:31:20 Kampala; its upload stays open until 22 September at 11:00; do not reopen them.</w:t>
      </w:r>
    </w:p>
    <w:p>
      <w:pPr>
        <w:pStyle w:val="Heading1"/>
      </w:pPr>
      <w:r>
        <w:t>Quiz and deadline</w:t>
      </w:r>
    </w:p>
    <w:p>
      <w:r>
        <w:t>Allow sign-in before the five-minute question period. This is a low-stakes quiz with the existing 24-hour response window. The classroom countdown does not enforce a per-student timer. Check automatic closure after the window; failed closures must remain queued for retry.</w:t>
      </w:r>
    </w:p>
    <w:p>
      <w:pPr>
        <w:pStyle w:val="Heading1"/>
      </w:pPr>
      <w:r>
        <w:t>Fallback and exit check</w:t>
      </w:r>
    </w:p>
    <w:p>
      <w:r>
        <w:t>If Colab fails, move students to prepared lab computers with the same ZIP. Record an outage rather than silently penalizing delayed uploads. Before leaving, each student shows a fresh-run notebook and keeps a downloaded copy. A2 closes at the start of that cohort’s Week 3 lecture.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