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ind w:right="0" w:firstLine="0" w:left="0"/>
        <w:jc w:val="center"/>
        <w:rPr/>
      </w:pPr>
      <w:r>
        <w:rPr>
          <w:rFonts w:ascii="Times New Roman" w:hAnsi="Times New Roman" w:eastAsia="Times New Roman" w:cs="Times New Roman"/>
          <w:b/>
          <w:color w:val="000000"/>
          <w:sz w:val="24"/>
        </w:rPr>
        <w:t xml:space="preserve">Jothan Jerry Kato</w:t>
      </w:r>
      <w:r/>
    </w:p>
    <w:p>
      <w:pPr>
        <w:pBdr>
          <w:top w:val="none" w:color="000000" w:sz="4" w:space="0"/>
          <w:left w:val="none" w:color="000000" w:sz="4" w:space="0"/>
          <w:bottom w:val="none" w:color="000000" w:sz="4" w:space="0"/>
          <w:right w:val="none" w:color="000000" w:sz="4" w:space="0"/>
        </w:pBdr>
        <w:spacing/>
        <w:ind w:right="0" w:firstLine="0" w:left="0"/>
        <w:jc w:val="center"/>
        <w:rPr/>
      </w:pPr>
      <w:r>
        <w:rPr>
          <w:rFonts w:ascii="Times New Roman" w:hAnsi="Times New Roman" w:eastAsia="Times New Roman" w:cs="Times New Roman"/>
          <w:b/>
          <w:color w:val="000000"/>
          <w:sz w:val="24"/>
        </w:rPr>
        <w:t xml:space="preserve">VUG/CSC/23/9791</w:t>
      </w:r>
      <w:r/>
    </w:p>
    <w:p>
      <w:pPr>
        <w:pBdr>
          <w:top w:val="none" w:color="000000" w:sz="4" w:space="0"/>
          <w:left w:val="none" w:color="000000" w:sz="4" w:space="0"/>
          <w:bottom w:val="none" w:color="000000" w:sz="4" w:space="0"/>
          <w:right w:val="none" w:color="000000" w:sz="4" w:space="0"/>
        </w:pBdr>
        <w:spacing/>
        <w:ind w:right="0" w:firstLine="0" w:left="0"/>
        <w:jc w:val="center"/>
        <w:rPr/>
      </w:pPr>
      <w:r>
        <w:rPr>
          <w:rFonts w:ascii="Times New Roman" w:hAnsi="Times New Roman" w:eastAsia="Times New Roman" w:cs="Times New Roman"/>
          <w:b/>
          <w:color w:val="000000"/>
          <w:sz w:val="24"/>
        </w:rPr>
        <w:t xml:space="preserve">CSC308</w:t>
      </w:r>
      <w:r/>
    </w:p>
    <w:p>
      <w:pPr>
        <w:pBdr>
          <w:top w:val="none" w:color="000000" w:sz="4" w:space="0"/>
          <w:left w:val="none" w:color="000000" w:sz="4" w:space="0"/>
          <w:bottom w:val="none" w:color="000000" w:sz="4" w:space="0"/>
          <w:right w:val="none" w:color="000000" w:sz="4" w:space="0"/>
        </w:pBdr>
        <w:spacing/>
        <w:ind w:right="0" w:firstLine="0" w:left="0"/>
        <w:jc w:val="center"/>
        <w:rPr/>
      </w:pPr>
      <w:r>
        <w:rPr>
          <w:rFonts w:ascii="Times New Roman" w:hAnsi="Times New Roman" w:eastAsia="Times New Roman" w:cs="Times New Roman"/>
          <w:b/>
          <w:color w:val="000000"/>
          <w:sz w:val="24"/>
        </w:rPr>
        <w:t xml:space="preserve">COMPUTER SCIENCE INNOVATION AND NEW TECH</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GITHUB URL:</w:t>
      </w:r>
      <w:hyperlink r:id="rId9" w:tooltip="https://github.com/Jothankato05/Machine_Learning" w:history="1">
        <w:r>
          <w:rPr>
            <w:rStyle w:val="186"/>
            <w:rFonts w:ascii="Times New Roman" w:hAnsi="Times New Roman" w:eastAsia="Times New Roman" w:cs="Times New Roman"/>
            <w:color w:val="0000ee"/>
            <w:sz w:val="24"/>
            <w:u w:val="single"/>
          </w:rPr>
          <w:t xml:space="preserve">https://github.com/Jothankato05/Machine_Learning</w:t>
        </w:r>
      </w:hyperlink>
      <w:r/>
      <w:r/>
    </w:p>
    <w:p>
      <w:pPr>
        <w:pStyle w:val="13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48"/>
        </w:rPr>
        <w:t xml:space="preserve">Detecting Anxiety Trends Among Undergraduates Through Predictive Analytics</w:t>
      </w: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1. Introduction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rising incidence of anxiety among university students globally poses a significant threat to academic success, emotional stability, and future career outcomes (Anderson et al., 2023). With factors such as academic pressure, financial burdens, and lifes</w:t>
      </w:r>
      <w:r>
        <w:rPr>
          <w:rFonts w:ascii="Times New Roman" w:hAnsi="Times New Roman" w:eastAsia="Times New Roman" w:cs="Times New Roman"/>
          <w:color w:val="000000"/>
          <w:sz w:val="24"/>
        </w:rPr>
        <w:t xml:space="preserve">tyle disruptions acting as key triggers, early detection systems are crucial. This project employs machine learning to predict the likelihood of anxiety in students, enabling educational institutions to proactively deploy mental health interventions.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r>
      <w:r>
        <w:rPr>
          <w:rFonts w:ascii="Times New Roman" w:hAnsi="Times New Roman" w:eastAsia="Times New Roman" w:cs="Times New Roman"/>
          <w:color w:val="000000"/>
          <w:sz w:val="24"/>
        </w:rPr>
        <w:t xml:space="preserve"> Develop a binary classification model to predict anxiety risk (0 = No Anxiety, 1 = Anxiety) using a Decision Tree Classifier, with support from exploratory analysis of contributing factors.</w:t>
      </w: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2. Dataset Summary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Source and Structure:</w:t>
      </w:r>
      <w:r/>
    </w:p>
    <w:p>
      <w:pPr>
        <w:pStyle w:val="664"/>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Source:</w:t>
      </w:r>
      <w:r>
        <w:rPr>
          <w:rFonts w:ascii="Times New Roman" w:hAnsi="Times New Roman" w:eastAsia="Times New Roman" w:cs="Times New Roman"/>
          <w:color w:val="000000"/>
          <w:sz w:val="24"/>
        </w:rPr>
        <w:t xml:space="preserve"> Kaggle (Adapted Student Mental Health Dataset)</w:t>
      </w:r>
      <w:r/>
    </w:p>
    <w:p>
      <w:pPr>
        <w:pStyle w:val="664"/>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Records:</w:t>
      </w:r>
      <w:r>
        <w:rPr>
          <w:rFonts w:ascii="Times New Roman" w:hAnsi="Times New Roman" w:eastAsia="Times New Roman" w:cs="Times New Roman"/>
          <w:color w:val="000000"/>
          <w:sz w:val="24"/>
        </w:rPr>
        <w:t xml:space="preserve"> 27,901 students</w:t>
      </w:r>
      <w:r/>
    </w:p>
    <w:p>
      <w:pPr>
        <w:pStyle w:val="664"/>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Features:</w:t>
      </w:r>
      <w:r>
        <w:rPr>
          <w:rFonts w:ascii="Times New Roman" w:hAnsi="Times New Roman" w:eastAsia="Times New Roman" w:cs="Times New Roman"/>
          <w:color w:val="000000"/>
          <w:sz w:val="24"/>
        </w:rPr>
        <w:t xml:space="preserve"> 17 variables (after excluding non-predictive ID fields)</w:t>
      </w:r>
      <w:r/>
    </w:p>
    <w:p>
      <w:pPr>
        <w:pStyle w:val="664"/>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Target:</w:t>
      </w:r>
      <w:r>
        <w:rPr>
          <w:rFonts w:ascii="Times New Roman" w:hAnsi="Times New Roman" w:eastAsia="Times New Roman" w:cs="Times New Roman"/>
          <w:color w:val="000000"/>
          <w:sz w:val="24"/>
        </w:rPr>
        <w:t xml:space="preserve"> Anxiety (binary classification)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Key Variables:</w:t>
      </w:r>
      <w:r/>
    </w:p>
    <w:tbl>
      <w:tblPr>
        <w:tblStyle w:val="1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400"/>
        <w:gridCol w:w="4444"/>
      </w:tblGrid>
      <w:tr>
        <w:trPr/>
        <w:tc>
          <w:tcPr>
            <w:tcBorders/>
            <w:tcMar>
              <w:left w:w="15" w:type="dxa"/>
              <w:top w:w="15" w:type="dxa"/>
              <w:right w:w="15" w:type="dxa"/>
              <w:bottom w:w="15" w:type="dxa"/>
            </w:tcMar>
            <w:tcW w:w="1400" w:type="dxa"/>
            <w:vAlign w:val="center"/>
            <w:textDirection w:val="lrTb"/>
            <w:noWrap w:val="false"/>
          </w:tcPr>
          <w:p>
            <w:pPr>
              <w:pBdr/>
              <w:spacing w:after="0" w:before="0" w:line="240"/>
              <w:ind/>
              <w:jc w:val="center"/>
              <w:rPr/>
            </w:pPr>
            <w:r>
              <w:rPr>
                <w:rFonts w:ascii="Times New Roman" w:hAnsi="Times New Roman" w:eastAsia="Times New Roman" w:cs="Times New Roman"/>
                <w:b/>
                <w:color w:val="000000"/>
                <w:sz w:val="24"/>
              </w:rPr>
              <w:t xml:space="preserve">Category</w:t>
            </w:r>
            <w:r/>
          </w:p>
        </w:tc>
        <w:tc>
          <w:tcPr>
            <w:tcBorders/>
            <w:tcMar>
              <w:left w:w="15" w:type="dxa"/>
              <w:top w:w="15" w:type="dxa"/>
              <w:right w:w="15" w:type="dxa"/>
              <w:bottom w:w="15" w:type="dxa"/>
            </w:tcMar>
            <w:tcW w:w="4444" w:type="dxa"/>
            <w:vAlign w:val="center"/>
            <w:textDirection w:val="lrTb"/>
            <w:noWrap w:val="false"/>
          </w:tcPr>
          <w:p>
            <w:pPr>
              <w:pBdr/>
              <w:spacing w:after="0" w:before="0" w:line="240"/>
              <w:ind/>
              <w:jc w:val="center"/>
              <w:rPr/>
            </w:pPr>
            <w:r>
              <w:rPr>
                <w:rFonts w:ascii="Times New Roman" w:hAnsi="Times New Roman" w:eastAsia="Times New Roman" w:cs="Times New Roman"/>
                <w:b/>
                <w:color w:val="000000"/>
                <w:sz w:val="24"/>
              </w:rPr>
              <w:t xml:space="preserve">Variables</w:t>
            </w:r>
            <w:r/>
          </w:p>
        </w:tc>
      </w:tr>
      <w:tr>
        <w:trPr/>
        <w:tc>
          <w:tcPr>
            <w:tcBorders/>
            <w:tcMar>
              <w:left w:w="15" w:type="dxa"/>
              <w:top w:w="15" w:type="dxa"/>
              <w:right w:w="15" w:type="dxa"/>
              <w:bottom w:w="15" w:type="dxa"/>
            </w:tcMar>
            <w:tcW w:w="1400"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Demographics</w:t>
            </w:r>
            <w:r/>
          </w:p>
        </w:tc>
        <w:tc>
          <w:tcPr>
            <w:tcBorders/>
            <w:tcMar>
              <w:left w:w="15" w:type="dxa"/>
              <w:top w:w="15" w:type="dxa"/>
              <w:right w:w="15" w:type="dxa"/>
              <w:bottom w:w="15" w:type="dxa"/>
            </w:tcMar>
            <w:tcW w:w="4444"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Gender, Age, City</w:t>
            </w:r>
            <w:r/>
          </w:p>
        </w:tc>
      </w:tr>
      <w:tr>
        <w:trPr/>
        <w:tc>
          <w:tcPr>
            <w:tcBorders/>
            <w:tcMar>
              <w:left w:w="15" w:type="dxa"/>
              <w:top w:w="15" w:type="dxa"/>
              <w:right w:w="15" w:type="dxa"/>
              <w:bottom w:w="15" w:type="dxa"/>
            </w:tcMar>
            <w:tcW w:w="1400"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Academic</w:t>
            </w:r>
            <w:r/>
          </w:p>
        </w:tc>
        <w:tc>
          <w:tcPr>
            <w:tcBorders/>
            <w:tcMar>
              <w:left w:w="15" w:type="dxa"/>
              <w:top w:w="15" w:type="dxa"/>
              <w:right w:w="15" w:type="dxa"/>
              <w:bottom w:w="15" w:type="dxa"/>
            </w:tcMar>
            <w:tcW w:w="4444"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CGPA, Academic Pressure, Study Satisfaction</w:t>
            </w:r>
            <w:r/>
          </w:p>
        </w:tc>
      </w:tr>
      <w:tr>
        <w:trPr/>
        <w:tc>
          <w:tcPr>
            <w:tcBorders/>
            <w:tcMar>
              <w:left w:w="15" w:type="dxa"/>
              <w:top w:w="15" w:type="dxa"/>
              <w:right w:w="15" w:type="dxa"/>
              <w:bottom w:w="15" w:type="dxa"/>
            </w:tcMar>
            <w:tcW w:w="1400"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Lifestyle</w:t>
            </w:r>
            <w:r/>
          </w:p>
        </w:tc>
        <w:tc>
          <w:tcPr>
            <w:tcBorders/>
            <w:tcMar>
              <w:left w:w="15" w:type="dxa"/>
              <w:top w:w="15" w:type="dxa"/>
              <w:right w:w="15" w:type="dxa"/>
              <w:bottom w:w="15" w:type="dxa"/>
            </w:tcMar>
            <w:tcW w:w="4444"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Sleep Duration, Dietary Habits</w:t>
            </w:r>
            <w:r/>
          </w:p>
        </w:tc>
      </w:tr>
      <w:tr>
        <w:trPr/>
        <w:tc>
          <w:tcPr>
            <w:tcBorders/>
            <w:tcMar>
              <w:left w:w="15" w:type="dxa"/>
              <w:top w:w="15" w:type="dxa"/>
              <w:right w:w="15" w:type="dxa"/>
              <w:bottom w:w="15" w:type="dxa"/>
            </w:tcMar>
            <w:tcW w:w="1400"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Psychological</w:t>
            </w:r>
            <w:r/>
          </w:p>
        </w:tc>
        <w:tc>
          <w:tcPr>
            <w:tcBorders/>
            <w:tcMar>
              <w:left w:w="15" w:type="dxa"/>
              <w:top w:w="15" w:type="dxa"/>
              <w:right w:w="15" w:type="dxa"/>
              <w:bottom w:w="15" w:type="dxa"/>
            </w:tcMar>
            <w:tcW w:w="4444"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Family Mental History, Financial Stress</w:t>
            </w:r>
            <w:r/>
          </w:p>
        </w:tc>
      </w:tr>
    </w:tbl>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3. Data Cleaning and Preprocessing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Steps Taken:</w:t>
      </w:r>
      <w:r/>
    </w:p>
    <w:p>
      <w:pPr>
        <w:pStyle w:val="664"/>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Missing Values:</w:t>
      </w:r>
      <w:r>
        <w:rPr>
          <w:rFonts w:ascii="Times New Roman" w:hAnsi="Times New Roman" w:eastAsia="Times New Roman" w:cs="Times New Roman"/>
          <w:color w:val="000000"/>
          <w:sz w:val="24"/>
        </w:rPr>
        <w:t xml:space="preserve"> Replaced placeholders ("?") with </w:t>
      </w:r>
      <w:r>
        <w:rPr>
          <w:rFonts w:ascii="Courier New" w:hAnsi="Courier New" w:eastAsia="Courier New" w:cs="Courier New"/>
          <w:color w:val="000000"/>
          <w:sz w:val="20"/>
        </w:rPr>
        <w:t xml:space="preserve">NaN</w:t>
      </w:r>
      <w:r>
        <w:rPr>
          <w:rFonts w:ascii="Times New Roman" w:hAnsi="Times New Roman" w:eastAsia="Times New Roman" w:cs="Times New Roman"/>
          <w:color w:val="000000"/>
          <w:sz w:val="24"/>
        </w:rPr>
        <w:t xml:space="preserve"> and imputed:</w:t>
      </w:r>
      <w:r/>
    </w:p>
    <w:p>
      <w:pPr>
        <w:pStyle w:val="664"/>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Numerical columns:</w:t>
      </w:r>
      <w:r>
        <w:rPr>
          <w:rFonts w:ascii="Times New Roman" w:hAnsi="Times New Roman" w:eastAsia="Times New Roman" w:cs="Times New Roman"/>
          <w:color w:val="000000"/>
          <w:sz w:val="24"/>
        </w:rPr>
        <w:t xml:space="preserve"> median values (e.g., CGPA, Sleep Duration)</w:t>
      </w:r>
      <w:r/>
    </w:p>
    <w:p>
      <w:pPr>
        <w:pStyle w:val="664"/>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Categorical columns:</w:t>
      </w:r>
      <w:r>
        <w:rPr>
          <w:rFonts w:ascii="Times New Roman" w:hAnsi="Times New Roman" w:eastAsia="Times New Roman" w:cs="Times New Roman"/>
          <w:color w:val="000000"/>
          <w:sz w:val="24"/>
        </w:rPr>
        <w:t xml:space="preserve"> mode values (e.g., City, Degree)</w:t>
      </w:r>
      <w:r/>
    </w:p>
    <w:p>
      <w:pPr>
        <w:pStyle w:val="664"/>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Encoding:</w:t>
      </w:r>
      <w:r/>
    </w:p>
    <w:p>
      <w:pPr>
        <w:pStyle w:val="664"/>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Label encoding for categorical variables (e.g., Gender, Study Satisfaction)</w:t>
      </w:r>
      <w:r/>
    </w:p>
    <w:p>
      <w:pPr>
        <w:pStyle w:val="664"/>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Scaling:</w:t>
      </w:r>
      <w:r/>
    </w:p>
    <w:p>
      <w:pPr>
        <w:pStyle w:val="664"/>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StandardScaler applied for normalizing numerical features</w:t>
      </w:r>
      <w:r/>
    </w:p>
    <w:p>
      <w:pPr>
        <w:pStyle w:val="664"/>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Irrelevant Columns:</w:t>
      </w:r>
      <w:r/>
    </w:p>
    <w:p>
      <w:pPr>
        <w:pStyle w:val="664"/>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ID fields dropped to reduce noise.</w:t>
      </w: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4. Exploratory Data Analysis (EDA)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Key Insights:</w:t>
      </w:r>
      <w:r/>
    </w:p>
    <w:p>
      <w:pPr>
        <w:pStyle w:val="664"/>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Class Distribution:</w:t>
      </w:r>
      <w:r/>
    </w:p>
    <w:p>
      <w:pPr>
        <w:pStyle w:val="664"/>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Anxiety Positive (1): 45.8% | Anxiety Negative (0): 54.2% (mild imbalance)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Critical Correlations:</w:t>
      </w:r>
      <w:r/>
    </w:p>
    <w:tbl>
      <w:tblPr>
        <w:tblStyle w:val="1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2120"/>
        <w:gridCol w:w="2555"/>
      </w:tblGrid>
      <w:tr>
        <w:trPr/>
        <w:tc>
          <w:tcPr>
            <w:tcBorders/>
            <w:tcMar>
              <w:left w:w="15" w:type="dxa"/>
              <w:top w:w="15" w:type="dxa"/>
              <w:right w:w="15" w:type="dxa"/>
              <w:bottom w:w="15" w:type="dxa"/>
            </w:tcMar>
            <w:tcW w:w="2120" w:type="dxa"/>
            <w:vAlign w:val="center"/>
            <w:textDirection w:val="lrTb"/>
            <w:noWrap w:val="false"/>
          </w:tcPr>
          <w:p>
            <w:pPr>
              <w:pBdr/>
              <w:spacing w:after="0" w:before="0" w:line="240"/>
              <w:ind/>
              <w:jc w:val="center"/>
              <w:rPr/>
            </w:pPr>
            <w:r>
              <w:rPr>
                <w:rFonts w:ascii="Times New Roman" w:hAnsi="Times New Roman" w:eastAsia="Times New Roman" w:cs="Times New Roman"/>
                <w:b/>
                <w:color w:val="000000"/>
                <w:sz w:val="24"/>
              </w:rPr>
              <w:t xml:space="preserve">Feature</w:t>
            </w:r>
            <w:r/>
          </w:p>
        </w:tc>
        <w:tc>
          <w:tcPr>
            <w:tcBorders/>
            <w:tcMar>
              <w:left w:w="15" w:type="dxa"/>
              <w:top w:w="15" w:type="dxa"/>
              <w:right w:w="15" w:type="dxa"/>
              <w:bottom w:w="15" w:type="dxa"/>
            </w:tcMar>
            <w:tcW w:w="2555" w:type="dxa"/>
            <w:vAlign w:val="center"/>
            <w:textDirection w:val="lrTb"/>
            <w:noWrap w:val="false"/>
          </w:tcPr>
          <w:p>
            <w:pPr>
              <w:pBdr/>
              <w:spacing w:after="0" w:before="0" w:line="240"/>
              <w:ind/>
              <w:jc w:val="center"/>
              <w:rPr/>
            </w:pPr>
            <w:r>
              <w:rPr>
                <w:rFonts w:ascii="Times New Roman" w:hAnsi="Times New Roman" w:eastAsia="Times New Roman" w:cs="Times New Roman"/>
                <w:b/>
                <w:color w:val="000000"/>
                <w:sz w:val="24"/>
              </w:rPr>
              <w:t xml:space="preserve">Correlation with Anxiety</w:t>
            </w:r>
            <w:r/>
          </w:p>
        </w:tc>
      </w:tr>
      <w:tr>
        <w:trPr/>
        <w:tc>
          <w:tcPr>
            <w:tcBorders/>
            <w:tcMar>
              <w:left w:w="15" w:type="dxa"/>
              <w:top w:w="15" w:type="dxa"/>
              <w:right w:w="15" w:type="dxa"/>
              <w:bottom w:w="15" w:type="dxa"/>
            </w:tcMar>
            <w:tcW w:w="2120"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Academic Pressure</w:t>
            </w:r>
            <w:r/>
          </w:p>
        </w:tc>
        <w:tc>
          <w:tcPr>
            <w:tcBorders/>
            <w:tcMar>
              <w:left w:w="15" w:type="dxa"/>
              <w:top w:w="15" w:type="dxa"/>
              <w:right w:w="15" w:type="dxa"/>
              <w:bottom w:w="15" w:type="dxa"/>
            </w:tcMar>
            <w:tcW w:w="2555"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+0.65</w:t>
            </w:r>
            <w:r/>
          </w:p>
        </w:tc>
      </w:tr>
      <w:tr>
        <w:trPr/>
        <w:tc>
          <w:tcPr>
            <w:tcBorders/>
            <w:tcMar>
              <w:left w:w="15" w:type="dxa"/>
              <w:top w:w="15" w:type="dxa"/>
              <w:right w:w="15" w:type="dxa"/>
              <w:bottom w:w="15" w:type="dxa"/>
            </w:tcMar>
            <w:tcW w:w="2120"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Sleep Duration</w:t>
            </w:r>
            <w:r/>
          </w:p>
        </w:tc>
        <w:tc>
          <w:tcPr>
            <w:tcBorders/>
            <w:tcMar>
              <w:left w:w="15" w:type="dxa"/>
              <w:top w:w="15" w:type="dxa"/>
              <w:right w:w="15" w:type="dxa"/>
              <w:bottom w:w="15" w:type="dxa"/>
            </w:tcMar>
            <w:tcW w:w="2555"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-0.52</w:t>
            </w:r>
            <w:r/>
          </w:p>
        </w:tc>
      </w:tr>
      <w:tr>
        <w:trPr/>
        <w:tc>
          <w:tcPr>
            <w:tcBorders/>
            <w:tcMar>
              <w:left w:w="15" w:type="dxa"/>
              <w:top w:w="15" w:type="dxa"/>
              <w:right w:w="15" w:type="dxa"/>
              <w:bottom w:w="15" w:type="dxa"/>
            </w:tcMar>
            <w:tcW w:w="2120"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Financial Stress</w:t>
            </w:r>
            <w:r/>
          </w:p>
        </w:tc>
        <w:tc>
          <w:tcPr>
            <w:tcBorders/>
            <w:tcMar>
              <w:left w:w="15" w:type="dxa"/>
              <w:top w:w="15" w:type="dxa"/>
              <w:right w:w="15" w:type="dxa"/>
              <w:bottom w:w="15" w:type="dxa"/>
            </w:tcMar>
            <w:tcW w:w="2555"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+0.48</w:t>
            </w:r>
            <w:r/>
          </w:p>
        </w:tc>
      </w:tr>
      <w:tr>
        <w:trPr/>
        <w:tc>
          <w:tcPr>
            <w:tcBorders/>
            <w:tcMar>
              <w:left w:w="15" w:type="dxa"/>
              <w:top w:w="15" w:type="dxa"/>
              <w:right w:w="15" w:type="dxa"/>
              <w:bottom w:w="15" w:type="dxa"/>
            </w:tcMar>
            <w:tcW w:w="2120"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Family Mental Health</w:t>
            </w:r>
            <w:r/>
          </w:p>
        </w:tc>
        <w:tc>
          <w:tcPr>
            <w:tcBorders/>
            <w:tcMar>
              <w:left w:w="15" w:type="dxa"/>
              <w:top w:w="15" w:type="dxa"/>
              <w:right w:w="15" w:type="dxa"/>
              <w:bottom w:w="15" w:type="dxa"/>
            </w:tcMar>
            <w:tcW w:w="2555"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+0.39</w:t>
            </w:r>
            <w:r/>
          </w:p>
        </w:tc>
      </w:tr>
    </w:tbl>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Patterns Observed:</w:t>
      </w:r>
      <w:r/>
    </w:p>
    <w:p>
      <w:pPr>
        <w:pStyle w:val="664"/>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Students reporting sleep duration under 6 hours/night demonstrated a </w:t>
      </w:r>
      <w:r>
        <w:rPr>
          <w:rFonts w:ascii="Times New Roman" w:hAnsi="Times New Roman" w:eastAsia="Times New Roman" w:cs="Times New Roman"/>
          <w:b/>
          <w:color w:val="000000"/>
          <w:sz w:val="24"/>
        </w:rPr>
        <w:t xml:space="preserve">72% likelihood</w:t>
      </w:r>
      <w:r>
        <w:rPr>
          <w:rFonts w:ascii="Times New Roman" w:hAnsi="Times New Roman" w:eastAsia="Times New Roman" w:cs="Times New Roman"/>
          <w:color w:val="000000"/>
          <w:sz w:val="24"/>
        </w:rPr>
        <w:t xml:space="preserve"> of anxiety symptoms.</w:t>
      </w:r>
      <w:r/>
    </w:p>
    <w:p>
      <w:pPr>
        <w:pStyle w:val="664"/>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CGPA below 3.0 associated with a </w:t>
      </w:r>
      <w:r>
        <w:rPr>
          <w:rFonts w:ascii="Times New Roman" w:hAnsi="Times New Roman" w:eastAsia="Times New Roman" w:cs="Times New Roman"/>
          <w:b/>
          <w:color w:val="000000"/>
          <w:sz w:val="24"/>
        </w:rPr>
        <w:t xml:space="preserve">2.7x higher incidence</w:t>
      </w:r>
      <w:r>
        <w:rPr>
          <w:rFonts w:ascii="Times New Roman" w:hAnsi="Times New Roman" w:eastAsia="Times New Roman" w:cs="Times New Roman"/>
          <w:color w:val="000000"/>
          <w:sz w:val="24"/>
        </w:rPr>
        <w:t xml:space="preserve"> of anxiety.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Visualizations:</w:t>
      </w:r>
      <w:r/>
    </w:p>
    <w:p>
      <w:pPr>
        <w:pStyle w:val="664"/>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Figure 1:</w:t>
      </w:r>
      <w:r>
        <w:rPr>
          <w:rFonts w:ascii="Times New Roman" w:hAnsi="Times New Roman" w:eastAsia="Times New Roman" w:cs="Times New Roman"/>
          <w:color w:val="000000"/>
          <w:sz w:val="24"/>
        </w:rPr>
        <w:t xml:space="preserve"> Class Distribution Bar Chart</w:t>
      </w:r>
      <w:r/>
    </w:p>
    <w:p>
      <w:pPr>
        <w:pStyle w:val="664"/>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Figure 2:</w:t>
      </w:r>
      <w:r>
        <w:rPr>
          <w:rFonts w:ascii="Times New Roman" w:hAnsi="Times New Roman" w:eastAsia="Times New Roman" w:cs="Times New Roman"/>
          <w:color w:val="000000"/>
          <w:sz w:val="24"/>
        </w:rPr>
        <w:t xml:space="preserve"> Correlation Heatmap</w:t>
      </w:r>
      <w:r/>
    </w:p>
    <w:p>
      <w:pPr>
        <w:pStyle w:val="664"/>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Figure 3:</w:t>
      </w:r>
      <w:r>
        <w:rPr>
          <w:rFonts w:ascii="Times New Roman" w:hAnsi="Times New Roman" w:eastAsia="Times New Roman" w:cs="Times New Roman"/>
          <w:color w:val="000000"/>
          <w:sz w:val="24"/>
        </w:rPr>
        <w:t xml:space="preserve"> CGPA vs. Anxiety Boxplot</w:t>
      </w:r>
      <w:r/>
    </w:p>
    <w:p>
      <w:pPr>
        <w:pStyle w:val="664"/>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Figure 4:</w:t>
      </w:r>
      <w:r>
        <w:rPr>
          <w:rFonts w:ascii="Times New Roman" w:hAnsi="Times New Roman" w:eastAsia="Times New Roman" w:cs="Times New Roman"/>
          <w:color w:val="000000"/>
          <w:sz w:val="24"/>
        </w:rPr>
        <w:t xml:space="preserve"> Financial Stress vs. Anxiety Scatterplot</w:t>
      </w: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5. Machine Learning Model</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Methodology:</w:t>
      </w:r>
      <w:r/>
    </w:p>
    <w:p>
      <w:pPr>
        <w:pStyle w:val="664"/>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Algorithm:</w:t>
      </w:r>
      <w:r>
        <w:rPr>
          <w:rFonts w:ascii="Times New Roman" w:hAnsi="Times New Roman" w:eastAsia="Times New Roman" w:cs="Times New Roman"/>
          <w:color w:val="000000"/>
          <w:sz w:val="24"/>
        </w:rPr>
        <w:t xml:space="preserve"> Decision Tree Classifier (selected for interpretability)</w:t>
      </w:r>
      <w:r/>
    </w:p>
    <w:p>
      <w:pPr>
        <w:pStyle w:val="664"/>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Train-Test Split:</w:t>
      </w:r>
      <w:r>
        <w:rPr>
          <w:rFonts w:ascii="Times New Roman" w:hAnsi="Times New Roman" w:eastAsia="Times New Roman" w:cs="Times New Roman"/>
          <w:color w:val="000000"/>
          <w:sz w:val="24"/>
        </w:rPr>
        <w:t xml:space="preserve"> 70% training set, 30% testing set</w:t>
      </w:r>
      <w:r/>
    </w:p>
    <w:p>
      <w:pPr>
        <w:pStyle w:val="664"/>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Preprocessing:</w:t>
      </w:r>
      <w:r/>
    </w:p>
    <w:p>
      <w:pPr>
        <w:pStyle w:val="664"/>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Label encoding and feature scaling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Performance Summary:</w:t>
      </w:r>
      <w:r/>
    </w:p>
    <w:tbl>
      <w:tblPr>
        <w:tblStyle w:val="1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893"/>
        <w:gridCol w:w="2087"/>
        <w:gridCol w:w="1747"/>
        <w:gridCol w:w="773"/>
      </w:tblGrid>
      <w:tr>
        <w:trPr/>
        <w:tc>
          <w:tcPr>
            <w:tcBorders/>
            <w:tcMar>
              <w:left w:w="15" w:type="dxa"/>
              <w:top w:w="15" w:type="dxa"/>
              <w:right w:w="15" w:type="dxa"/>
              <w:bottom w:w="15" w:type="dxa"/>
            </w:tcMar>
            <w:tcW w:w="893" w:type="dxa"/>
            <w:vAlign w:val="center"/>
            <w:textDirection w:val="lrTb"/>
            <w:noWrap w:val="false"/>
          </w:tcPr>
          <w:p>
            <w:pPr>
              <w:pBdr/>
              <w:spacing w:after="0" w:before="0" w:line="240"/>
              <w:ind/>
              <w:jc w:val="center"/>
              <w:rPr/>
            </w:pPr>
            <w:r>
              <w:rPr>
                <w:rFonts w:ascii="Times New Roman" w:hAnsi="Times New Roman" w:eastAsia="Times New Roman" w:cs="Times New Roman"/>
                <w:b/>
                <w:color w:val="000000"/>
                <w:sz w:val="24"/>
              </w:rPr>
              <w:t xml:space="preserve">Metric</w:t>
            </w:r>
            <w:r/>
          </w:p>
        </w:tc>
        <w:tc>
          <w:tcPr>
            <w:tcBorders/>
            <w:tcMar>
              <w:left w:w="15" w:type="dxa"/>
              <w:top w:w="15" w:type="dxa"/>
              <w:right w:w="15" w:type="dxa"/>
              <w:bottom w:w="15" w:type="dxa"/>
            </w:tcMar>
            <w:tcW w:w="2087" w:type="dxa"/>
            <w:vAlign w:val="center"/>
            <w:textDirection w:val="lrTb"/>
            <w:noWrap w:val="false"/>
          </w:tcPr>
          <w:p>
            <w:pPr>
              <w:pBdr/>
              <w:spacing w:after="0" w:before="0" w:line="240"/>
              <w:ind/>
              <w:jc w:val="center"/>
              <w:rPr/>
            </w:pPr>
            <w:r>
              <w:rPr>
                <w:rFonts w:ascii="Times New Roman" w:hAnsi="Times New Roman" w:eastAsia="Times New Roman" w:cs="Times New Roman"/>
                <w:b/>
                <w:color w:val="000000"/>
                <w:sz w:val="24"/>
              </w:rPr>
              <w:t xml:space="preserve">Class 0 (No Anxiety)</w:t>
            </w:r>
            <w:r/>
          </w:p>
        </w:tc>
        <w:tc>
          <w:tcPr>
            <w:tcBorders/>
            <w:tcMar>
              <w:left w:w="15" w:type="dxa"/>
              <w:top w:w="15" w:type="dxa"/>
              <w:right w:w="15" w:type="dxa"/>
              <w:bottom w:w="15" w:type="dxa"/>
            </w:tcMar>
            <w:tcW w:w="1747" w:type="dxa"/>
            <w:vAlign w:val="center"/>
            <w:textDirection w:val="lrTb"/>
            <w:noWrap w:val="false"/>
          </w:tcPr>
          <w:p>
            <w:pPr>
              <w:pBdr/>
              <w:spacing w:after="0" w:before="0" w:line="240"/>
              <w:ind/>
              <w:jc w:val="center"/>
              <w:rPr/>
            </w:pPr>
            <w:r>
              <w:rPr>
                <w:rFonts w:ascii="Times New Roman" w:hAnsi="Times New Roman" w:eastAsia="Times New Roman" w:cs="Times New Roman"/>
                <w:b/>
                <w:color w:val="000000"/>
                <w:sz w:val="24"/>
              </w:rPr>
              <w:t xml:space="preserve">Class 1 (Anxiety)</w:t>
            </w:r>
            <w:r/>
          </w:p>
        </w:tc>
        <w:tc>
          <w:tcPr>
            <w:tcBorders/>
            <w:tcMar>
              <w:left w:w="15" w:type="dxa"/>
              <w:top w:w="15" w:type="dxa"/>
              <w:right w:w="15" w:type="dxa"/>
              <w:bottom w:w="15" w:type="dxa"/>
            </w:tcMar>
            <w:tcW w:w="773" w:type="dxa"/>
            <w:vAlign w:val="center"/>
            <w:textDirection w:val="lrTb"/>
            <w:noWrap w:val="false"/>
          </w:tcPr>
          <w:p>
            <w:pPr>
              <w:pBdr/>
              <w:spacing w:after="0" w:before="0" w:line="240"/>
              <w:ind/>
              <w:jc w:val="center"/>
              <w:rPr/>
            </w:pPr>
            <w:r>
              <w:rPr>
                <w:rFonts w:ascii="Times New Roman" w:hAnsi="Times New Roman" w:eastAsia="Times New Roman" w:cs="Times New Roman"/>
                <w:b/>
                <w:color w:val="000000"/>
                <w:sz w:val="24"/>
              </w:rPr>
              <w:t xml:space="preserve">Overall</w:t>
            </w:r>
            <w:r/>
          </w:p>
        </w:tc>
      </w:tr>
      <w:tr>
        <w:trPr/>
        <w:tc>
          <w:tcPr>
            <w:tcBorders/>
            <w:tcMar>
              <w:left w:w="15" w:type="dxa"/>
              <w:top w:w="15" w:type="dxa"/>
              <w:right w:w="15" w:type="dxa"/>
              <w:bottom w:w="15" w:type="dxa"/>
            </w:tcMar>
            <w:tcW w:w="893"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Precision</w:t>
            </w:r>
            <w:r/>
          </w:p>
        </w:tc>
        <w:tc>
          <w:tcPr>
            <w:tcBorders/>
            <w:tcMar>
              <w:left w:w="15" w:type="dxa"/>
              <w:top w:w="15" w:type="dxa"/>
              <w:right w:w="15" w:type="dxa"/>
              <w:bottom w:w="15" w:type="dxa"/>
            </w:tcMar>
            <w:tcW w:w="2087"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0.81</w:t>
            </w:r>
            <w:r/>
          </w:p>
        </w:tc>
        <w:tc>
          <w:tcPr>
            <w:tcBorders/>
            <w:tcMar>
              <w:left w:w="15" w:type="dxa"/>
              <w:top w:w="15" w:type="dxa"/>
              <w:right w:w="15" w:type="dxa"/>
              <w:bottom w:w="15" w:type="dxa"/>
            </w:tcMar>
            <w:tcW w:w="1747"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0.85</w:t>
            </w:r>
            <w:r/>
          </w:p>
        </w:tc>
        <w:tc>
          <w:tcPr>
            <w:tcBorders/>
            <w:tcMar>
              <w:left w:w="15" w:type="dxa"/>
              <w:top w:w="15" w:type="dxa"/>
              <w:right w:w="15" w:type="dxa"/>
              <w:bottom w:w="15" w:type="dxa"/>
            </w:tcMar>
            <w:tcW w:w="773"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0.83</w:t>
            </w:r>
            <w:r/>
          </w:p>
        </w:tc>
      </w:tr>
      <w:tr>
        <w:trPr/>
        <w:tc>
          <w:tcPr>
            <w:tcBorders/>
            <w:tcMar>
              <w:left w:w="15" w:type="dxa"/>
              <w:top w:w="15" w:type="dxa"/>
              <w:right w:w="15" w:type="dxa"/>
              <w:bottom w:w="15" w:type="dxa"/>
            </w:tcMar>
            <w:tcW w:w="893"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Recall</w:t>
            </w:r>
            <w:r/>
          </w:p>
        </w:tc>
        <w:tc>
          <w:tcPr>
            <w:tcBorders/>
            <w:tcMar>
              <w:left w:w="15" w:type="dxa"/>
              <w:top w:w="15" w:type="dxa"/>
              <w:right w:w="15" w:type="dxa"/>
              <w:bottom w:w="15" w:type="dxa"/>
            </w:tcMar>
            <w:tcW w:w="2087"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0.78</w:t>
            </w:r>
            <w:r/>
          </w:p>
        </w:tc>
        <w:tc>
          <w:tcPr>
            <w:tcBorders/>
            <w:tcMar>
              <w:left w:w="15" w:type="dxa"/>
              <w:top w:w="15" w:type="dxa"/>
              <w:right w:w="15" w:type="dxa"/>
              <w:bottom w:w="15" w:type="dxa"/>
            </w:tcMar>
            <w:tcW w:w="1747"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0.87</w:t>
            </w:r>
            <w:r/>
          </w:p>
        </w:tc>
        <w:tc>
          <w:tcPr>
            <w:tcBorders/>
            <w:tcMar>
              <w:left w:w="15" w:type="dxa"/>
              <w:top w:w="15" w:type="dxa"/>
              <w:right w:w="15" w:type="dxa"/>
              <w:bottom w:w="15" w:type="dxa"/>
            </w:tcMar>
            <w:tcW w:w="773"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0.83</w:t>
            </w:r>
            <w:r/>
          </w:p>
        </w:tc>
      </w:tr>
      <w:tr>
        <w:trPr/>
        <w:tc>
          <w:tcPr>
            <w:tcBorders/>
            <w:tcMar>
              <w:left w:w="15" w:type="dxa"/>
              <w:top w:w="15" w:type="dxa"/>
              <w:right w:w="15" w:type="dxa"/>
              <w:bottom w:w="15" w:type="dxa"/>
            </w:tcMar>
            <w:tcW w:w="893"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F1-Score</w:t>
            </w:r>
            <w:r/>
          </w:p>
        </w:tc>
        <w:tc>
          <w:tcPr>
            <w:tcBorders/>
            <w:tcMar>
              <w:left w:w="15" w:type="dxa"/>
              <w:top w:w="15" w:type="dxa"/>
              <w:right w:w="15" w:type="dxa"/>
              <w:bottom w:w="15" w:type="dxa"/>
            </w:tcMar>
            <w:tcW w:w="2087"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0.79</w:t>
            </w:r>
            <w:r/>
          </w:p>
        </w:tc>
        <w:tc>
          <w:tcPr>
            <w:tcBorders/>
            <w:tcMar>
              <w:left w:w="15" w:type="dxa"/>
              <w:top w:w="15" w:type="dxa"/>
              <w:right w:w="15" w:type="dxa"/>
              <w:bottom w:w="15" w:type="dxa"/>
            </w:tcMar>
            <w:tcW w:w="1747"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0.86</w:t>
            </w:r>
            <w:r/>
          </w:p>
        </w:tc>
        <w:tc>
          <w:tcPr>
            <w:tcBorders/>
            <w:tcMar>
              <w:left w:w="15" w:type="dxa"/>
              <w:top w:w="15" w:type="dxa"/>
              <w:right w:w="15" w:type="dxa"/>
              <w:bottom w:w="15" w:type="dxa"/>
            </w:tcMar>
            <w:tcW w:w="773"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0.83</w:t>
            </w:r>
            <w:r/>
          </w:p>
        </w:tc>
      </w:tr>
    </w:tbl>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Confusion Matrix:</w:t>
      </w:r>
      <w:r/>
    </w:p>
    <w:tbl>
      <w:tblPr>
        <w:tblStyle w:val="1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040"/>
        <w:gridCol w:w="1335"/>
        <w:gridCol w:w="1380"/>
      </w:tblGrid>
      <w:tr>
        <w:trPr/>
        <w:tc>
          <w:tcPr>
            <w:tcBorders/>
            <w:tcMar>
              <w:left w:w="15" w:type="dxa"/>
              <w:top w:w="15" w:type="dxa"/>
              <w:right w:w="15" w:type="dxa"/>
              <w:bottom w:w="15" w:type="dxa"/>
            </w:tcMar>
            <w:tcW w:w="1040" w:type="dxa"/>
            <w:vAlign w:val="center"/>
            <w:textDirection w:val="lrTb"/>
            <w:noWrap w:val="false"/>
          </w:tcPr>
          <w:p>
            <w:pPr>
              <w:pBdr/>
              <w:spacing w:after="0" w:before="0" w:line="240"/>
              <w:ind/>
              <w:rPr/>
            </w:pPr>
            <w:r/>
          </w:p>
        </w:tc>
        <w:tc>
          <w:tcPr>
            <w:tcBorders/>
            <w:tcMar>
              <w:left w:w="15" w:type="dxa"/>
              <w:top w:w="15" w:type="dxa"/>
              <w:right w:w="15" w:type="dxa"/>
              <w:bottom w:w="15" w:type="dxa"/>
            </w:tcMar>
            <w:tcW w:w="1335" w:type="dxa"/>
            <w:vAlign w:val="center"/>
            <w:textDirection w:val="lrTb"/>
            <w:noWrap w:val="false"/>
          </w:tcPr>
          <w:p>
            <w:pPr>
              <w:pBdr/>
              <w:spacing w:after="0" w:before="0" w:line="240"/>
              <w:ind/>
              <w:jc w:val="center"/>
              <w:rPr/>
            </w:pPr>
            <w:r>
              <w:rPr>
                <w:rFonts w:ascii="Times New Roman" w:hAnsi="Times New Roman" w:eastAsia="Times New Roman" w:cs="Times New Roman"/>
                <w:b/>
                <w:color w:val="000000"/>
                <w:sz w:val="24"/>
              </w:rPr>
              <w:t xml:space="preserve">Predicted No</w:t>
            </w:r>
            <w:r/>
          </w:p>
        </w:tc>
        <w:tc>
          <w:tcPr>
            <w:tcBorders/>
            <w:tcMar>
              <w:left w:w="15" w:type="dxa"/>
              <w:top w:w="15" w:type="dxa"/>
              <w:right w:w="15" w:type="dxa"/>
              <w:bottom w:w="15" w:type="dxa"/>
            </w:tcMar>
            <w:tcW w:w="1380" w:type="dxa"/>
            <w:vAlign w:val="center"/>
            <w:textDirection w:val="lrTb"/>
            <w:noWrap w:val="false"/>
          </w:tcPr>
          <w:p>
            <w:pPr>
              <w:pBdr/>
              <w:spacing w:after="0" w:before="0" w:line="240"/>
              <w:ind/>
              <w:jc w:val="center"/>
              <w:rPr/>
            </w:pPr>
            <w:r>
              <w:rPr>
                <w:rFonts w:ascii="Times New Roman" w:hAnsi="Times New Roman" w:eastAsia="Times New Roman" w:cs="Times New Roman"/>
                <w:b/>
                <w:color w:val="000000"/>
                <w:sz w:val="24"/>
              </w:rPr>
              <w:t xml:space="preserve">Predicted Yes</w:t>
            </w:r>
            <w:r/>
          </w:p>
        </w:tc>
      </w:tr>
      <w:tr>
        <w:trPr/>
        <w:tc>
          <w:tcPr>
            <w:tcBorders/>
            <w:tcMar>
              <w:left w:w="15" w:type="dxa"/>
              <w:top w:w="15" w:type="dxa"/>
              <w:right w:w="15" w:type="dxa"/>
              <w:bottom w:w="15" w:type="dxa"/>
            </w:tcMar>
            <w:tcW w:w="1040"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Actual No</w:t>
            </w:r>
            <w:r/>
          </w:p>
        </w:tc>
        <w:tc>
          <w:tcPr>
            <w:tcBorders/>
            <w:tcMar>
              <w:left w:w="15" w:type="dxa"/>
              <w:top w:w="15" w:type="dxa"/>
              <w:right w:w="15" w:type="dxa"/>
              <w:bottom w:w="15" w:type="dxa"/>
            </w:tcMar>
            <w:tcW w:w="1335"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2750</w:t>
            </w:r>
            <w:r/>
          </w:p>
        </w:tc>
        <w:tc>
          <w:tcPr>
            <w:tcBorders/>
            <w:tcMar>
              <w:left w:w="15" w:type="dxa"/>
              <w:top w:w="15" w:type="dxa"/>
              <w:right w:w="15" w:type="dxa"/>
              <w:bottom w:w="15" w:type="dxa"/>
            </w:tcMar>
            <w:tcW w:w="1380"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750</w:t>
            </w:r>
            <w:r/>
          </w:p>
        </w:tc>
      </w:tr>
      <w:tr>
        <w:trPr/>
        <w:tc>
          <w:tcPr>
            <w:tcBorders/>
            <w:tcMar>
              <w:left w:w="15" w:type="dxa"/>
              <w:top w:w="15" w:type="dxa"/>
              <w:right w:w="15" w:type="dxa"/>
              <w:bottom w:w="15" w:type="dxa"/>
            </w:tcMar>
            <w:tcW w:w="1040"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Actual Yes</w:t>
            </w:r>
            <w:r/>
          </w:p>
        </w:tc>
        <w:tc>
          <w:tcPr>
            <w:tcBorders/>
            <w:tcMar>
              <w:left w:w="15" w:type="dxa"/>
              <w:top w:w="15" w:type="dxa"/>
              <w:right w:w="15" w:type="dxa"/>
              <w:bottom w:w="15" w:type="dxa"/>
            </w:tcMar>
            <w:tcW w:w="1335"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620</w:t>
            </w:r>
            <w:r/>
          </w:p>
        </w:tc>
        <w:tc>
          <w:tcPr>
            <w:tcBorders/>
            <w:tcMar>
              <w:left w:w="15" w:type="dxa"/>
              <w:top w:w="15" w:type="dxa"/>
              <w:right w:w="15" w:type="dxa"/>
              <w:bottom w:w="15" w:type="dxa"/>
            </w:tcMar>
            <w:tcW w:w="1380"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4250</w:t>
            </w:r>
            <w:r/>
          </w:p>
        </w:tc>
      </w:tr>
    </w:tbl>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Accuracy:</w:t>
      </w:r>
      <w:r>
        <w:rPr>
          <w:rFonts w:ascii="Times New Roman" w:hAnsi="Times New Roman" w:eastAsia="Times New Roman" w:cs="Times New Roman"/>
          <w:color w:val="000000"/>
          <w:sz w:val="24"/>
        </w:rPr>
        <w:t xml:space="preserve"> 83.1%</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Interpretation:</w:t>
      </w:r>
      <w:r/>
    </w:p>
    <w:p>
      <w:pPr>
        <w:pStyle w:val="664"/>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Strong ability to detect students likely to experience anxiety (Recall = 87%).</w:t>
      </w:r>
      <w:r/>
    </w:p>
    <w:p>
      <w:pPr>
        <w:pStyle w:val="664"/>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Manageable rate of false positives (750 non-anxious students misclassified).</w:t>
      </w: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6. Conclusion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Findings:</w:t>
      </w:r>
      <w:r/>
    </w:p>
    <w:p>
      <w:pPr>
        <w:pStyle w:val="664"/>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Academic pressure, reduced sleep duration, and financial stress are key predictors of student anxiety.</w:t>
      </w:r>
      <w:r/>
    </w:p>
    <w:p>
      <w:pPr>
        <w:pStyle w:val="664"/>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Decision Tree Classifier achieved an accuracy of 83.1%, suggesting that machine learning can be effectively used for early anxiety detection.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Limitations:</w:t>
      </w:r>
      <w:r/>
    </w:p>
    <w:p>
      <w:pPr>
        <w:pStyle w:val="664"/>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Reliance on self-reported data may introduce bias.</w:t>
      </w:r>
      <w:r/>
    </w:p>
    <w:p>
      <w:pPr>
        <w:pStyle w:val="664"/>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Model may not generalize well across different cultural or academic systems without retraining.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Future Directions:</w:t>
      </w:r>
      <w:r/>
    </w:p>
    <w:p>
      <w:pPr>
        <w:pStyle w:val="664"/>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Explore ensemble models (e.g., Random Forest, XGBoost) to boost predictive performance.</w:t>
      </w:r>
      <w:r/>
    </w:p>
    <w:p>
      <w:pPr>
        <w:pStyle w:val="664"/>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Incorporate sentiment analysis on open-text student survey responses for richer feature engineering.</w:t>
      </w:r>
      <w:r/>
    </w:p>
    <w:p>
      <w:pPr>
        <w:pStyle w:val="664"/>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Extend analysis to temporal trends in anxiety levels over academic semesters.</w:t>
      </w: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References</w:t>
      </w:r>
      <w:r/>
    </w:p>
    <w:p>
      <w:pPr>
        <w:pStyle w:val="664"/>
        <w:numPr>
          <w:ilvl w:val="0"/>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Shamim, A. (n.d.). </w:t>
      </w:r>
      <w:r>
        <w:rPr>
          <w:rFonts w:ascii="Times New Roman" w:hAnsi="Times New Roman" w:eastAsia="Times New Roman" w:cs="Times New Roman"/>
          <w:i/>
          <w:color w:val="000000"/>
          <w:sz w:val="24"/>
        </w:rPr>
        <w:t xml:space="preserve">Student Depression Dataset</w:t>
      </w:r>
      <w:r>
        <w:rPr>
          <w:rFonts w:ascii="Times New Roman" w:hAnsi="Times New Roman" w:eastAsia="Times New Roman" w:cs="Times New Roman"/>
          <w:color w:val="000000"/>
          <w:sz w:val="24"/>
        </w:rPr>
        <w:t xml:space="preserve"> [Data set]. Kaggle. </w:t>
      </w:r>
      <w:hyperlink r:id="rId10" w:tooltip="https://www.kaggle.com/datasets/adilshamim8/student-depression-dataset" w:history="1">
        <w:r>
          <w:rPr>
            <w:rStyle w:val="186"/>
            <w:rFonts w:ascii="Times New Roman" w:hAnsi="Times New Roman" w:eastAsia="Times New Roman" w:cs="Times New Roman"/>
            <w:color w:val="0000ee"/>
            <w:sz w:val="24"/>
            <w:u w:val="single"/>
          </w:rPr>
          <w:t xml:space="preserve">https://www.kaggle.com/datasets/adilshamim8/student-depression-dataset</w:t>
        </w:r>
      </w:hyperlink>
      <w:r/>
      <w:r/>
    </w:p>
    <w:p>
      <w:pPr>
        <w:pStyle w:val="664"/>
        <w:numPr>
          <w:ilvl w:val="0"/>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Pedregosa, F., et al. (2011). </w:t>
      </w:r>
      <w:r>
        <w:rPr>
          <w:rFonts w:ascii="Times New Roman" w:hAnsi="Times New Roman" w:eastAsia="Times New Roman" w:cs="Times New Roman"/>
          <w:i/>
          <w:color w:val="000000"/>
          <w:sz w:val="24"/>
        </w:rPr>
        <w:t xml:space="preserve">Scikit-learn: Machine Learning in Python.</w:t>
      </w:r>
      <w:r>
        <w:rPr>
          <w:rFonts w:ascii="Times New Roman" w:hAnsi="Times New Roman" w:eastAsia="Times New Roman" w:cs="Times New Roman"/>
          <w:color w:val="000000"/>
          <w:sz w:val="24"/>
        </w:rPr>
        <w:t xml:space="preserve"> Journal of Machine Learning Research, 12, 2825–2830.</w:t>
      </w:r>
      <w:r/>
    </w:p>
    <w:p>
      <w:pPr>
        <w:pStyle w:val="664"/>
        <w:numPr>
          <w:ilvl w:val="0"/>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Anderson, P., Li, Y., &amp; Thomas, J. (2023). </w:t>
      </w:r>
      <w:r>
        <w:rPr>
          <w:rFonts w:ascii="Times New Roman" w:hAnsi="Times New Roman" w:eastAsia="Times New Roman" w:cs="Times New Roman"/>
          <w:i/>
          <w:color w:val="000000"/>
          <w:sz w:val="24"/>
        </w:rPr>
        <w:t xml:space="preserve">Global Trends in Student Mental Health: A Meta-Analysis.</w:t>
      </w:r>
      <w:r>
        <w:rPr>
          <w:rFonts w:ascii="Times New Roman" w:hAnsi="Times New Roman" w:eastAsia="Times New Roman" w:cs="Times New Roman"/>
          <w:color w:val="000000"/>
          <w:sz w:val="24"/>
        </w:rPr>
        <w:t xml:space="preserve"> Journal of Educational Psychology Research, 41(2), 115-134.</w:t>
      </w:r>
      <w:r/>
    </w:p>
    <w:p>
      <w:pPr>
        <w:pBdr/>
        <w:spacing/>
        <w:ind/>
        <w:rPr/>
      </w:pP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Times New Roman">
    <w:panose1 w:val="020206030504050203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github.com/Jothankato05/Machine_Learning" TargetMode="External"/><Relationship Id="rId10" Type="http://schemas.openxmlformats.org/officeDocument/2006/relationships/hyperlink" Target="https://www.kaggle.com/datasets/adilshamim8/student-depression-dataset"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ONLYOFFICE/8.3.3.21</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2025-04-27T21:15:21Z</dcterms:modified>
</cp:coreProperties>
</file>